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109D3CCE" w:rsidR="00954C83" w:rsidRPr="002B758E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E62B5C" w:rsidRPr="00E62B5C">
        <w:rPr>
          <w:rFonts w:ascii="Times New Roman" w:hAnsi="Times New Roman" w:cs="Times New Roman"/>
          <w:b/>
        </w:rPr>
        <w:t>2</w:t>
      </w:r>
      <w:r w:rsidR="00E45B49">
        <w:rPr>
          <w:rFonts w:ascii="Times New Roman" w:hAnsi="Times New Roman" w:cs="Times New Roman"/>
          <w:b/>
        </w:rPr>
        <w:t>6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35D7B8A4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3099F099" w:rsidR="006E7ABC" w:rsidRPr="00CD0CEC" w:rsidRDefault="00E45B49" w:rsidP="00DC7575">
            <w:pPr>
              <w:jc w:val="both"/>
              <w:rPr>
                <w:rFonts w:ascii="Times New Roman" w:hAnsi="Times New Roman" w:cs="Times New Roman"/>
              </w:rPr>
            </w:pPr>
            <w:r w:rsidRPr="00E45B49">
              <w:rPr>
                <w:rFonts w:ascii="Times New Roman" w:hAnsi="Times New Roman" w:cs="Times New Roman"/>
              </w:rPr>
              <w:t>13302200</w:t>
            </w:r>
            <w:r w:rsidRPr="009E1E2C">
              <w:rPr>
                <w:rFonts w:ascii="Times New Roman" w:hAnsi="Times New Roman" w:cs="Times New Roman"/>
              </w:rPr>
              <w:t xml:space="preserve"> </w:t>
            </w:r>
            <w:r w:rsidRPr="00E45B49">
              <w:rPr>
                <w:rFonts w:ascii="Times New Roman" w:hAnsi="Times New Roman" w:cs="Times New Roman"/>
              </w:rPr>
              <w:t>(тринадцать миллионов триста две тысячи двести</w:t>
            </w:r>
            <w:r w:rsidR="0062722E" w:rsidRPr="0062722E">
              <w:rPr>
                <w:rFonts w:ascii="Times New Roman" w:hAnsi="Times New Roman" w:cs="Times New Roman"/>
                <w:b/>
              </w:rPr>
              <w:t>)</w:t>
            </w:r>
            <w:r w:rsidR="0056007E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0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319D3A67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0581E6DF" w:rsidR="006E7ABC" w:rsidRPr="00913755" w:rsidRDefault="00E45B49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01</w:t>
            </w:r>
            <w:r w:rsidR="006E3528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марта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59A3A814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45B4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11</w:t>
            </w:r>
            <w:r w:rsidR="006E352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.0</w:t>
            </w:r>
            <w:r w:rsidR="00E45B4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3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24EA4169" w:rsidR="006E7ABC" w:rsidRPr="00913755" w:rsidRDefault="00E45B49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11 марта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389" w:type="dxa"/>
        <w:jc w:val="center"/>
        <w:tblLook w:val="04A0" w:firstRow="1" w:lastRow="0" w:firstColumn="1" w:lastColumn="0" w:noHBand="0" w:noVBand="1"/>
      </w:tblPr>
      <w:tblGrid>
        <w:gridCol w:w="960"/>
        <w:gridCol w:w="3286"/>
        <w:gridCol w:w="4958"/>
        <w:gridCol w:w="1101"/>
        <w:gridCol w:w="960"/>
        <w:gridCol w:w="1919"/>
        <w:gridCol w:w="1205"/>
      </w:tblGrid>
      <w:tr w:rsidR="008743C0" w:rsidRPr="0011062E" w14:paraId="0779F2A4" w14:textId="77777777" w:rsidTr="009E1E2C">
        <w:trPr>
          <w:trHeight w:val="114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proofErr w:type="gramEnd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выделанная для закупок за единицу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B1340E" w:rsidRPr="0011062E" w14:paraId="5D51EDFB" w14:textId="77777777" w:rsidTr="00B1340E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2DFB" w14:textId="77777777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DD0F" w14:textId="13249513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Перикардиальный аортальный биопротез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716D" w14:textId="0ED526DA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Перикардиальный аортальный биопротез предназначен для имплантации пациентам с тяжелым поражением нативного аортального клапана, при котором показана его замена протезом.  Также показания включают замену ранее имплантированного протеза аортального клапана, который перестал функционировать должным образом. В этом случае проводится хирургическое иссечение ранее имплантированного протеза и замена его новым.                                           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Низкий профиль облегчает введение имплантата и закрытие разреза аорты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Низкое основание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закрывает устья коронарных артерий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Тонкие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комиссурные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опоры облегчают введение протеза и завязывание узлов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Маркеры швов облегчают ориентацию клапана и наложение швов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Сложная форма гибкого посадочного кольца обеспечивает оптимальную анатомическую посадку                                                                                                                                 Процесс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AntiCa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+, является единственной технологией обработки, направленной против кальцификации в двух основных центрах связывания кальция.                                                                                                                     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Материалы: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Створки клапана: бычий перикард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:—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это проволока из кобальтового сплава.  Это немагнитный сплав кобальт-хром-никель-молибден, обладающий уникальным сочетанием очень высокой прочности, отличной коррозионной стойкости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Покрытие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полиэстеровая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ткань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Посадочное кольцо: Ацеталь-полимер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Размеры: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Клапаны выпускаются посадочным диаметром от 19 до 27 мм.                                                                                                                                                                                                         Номинальные спецификации клапана (мм):                                                                                                                                                                                                                                               19 (диаметр кольцевидного пространства ткани 20мм; Внутренний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(основание) 18мм; Наружный диаметр сшивающего кольца 27мм; Общая высота профиля 14мм).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21 (диаметр кольцевидного пространства ткани 22мм; Внутренний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(основание) 20мм; Наружный диаметр сшивающего кольца 28мм; Общая высота профиля 15мм).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23 (диаметр кольцевидного пространства ткани 24мм; Внутренний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(основание) 22мм; Наружный диаметр сшивающего кольца 31мм; Общая высота профиля 16мм).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25 (диаметр кольцевидного пространства ткани 26,5мм; Внутренний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(основание) 24мм; Наружный диаметр сшивающего кольца 33мм; Общая высота профиля 17мм).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27 (диаметр кольцевидного пространства ткани 28,5мм; Внутренний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(основание) 26мм; Наружный диаметр сшивающего кольца 36мм; Общая высота профиля 18мм).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Перикардиальный (митральный) биопротез 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Митральный клапан, предназначен для реконструкции митрального клапана. Данный биопротез митрального клапана, имеет асимметричную форму, повторяющую анатомию нативного митрального клапана. Биоинженерная конструкция на основе математической модели. Оптимизированная гемодинамика и долговечность в долгосрочном периоде. Легкий гибкий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— это проволока из кобальтового сплава.  Это немагнитный сплав кобальт-хром-никель-молибден, обладающий уникальным 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сочетанием очень высокой прочности, отличной коррозионной стойкости.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Три независимых створки из бычьего перикарда, подобранные по толщине и эластичности для оптимизации распределения напряжения. Характеристики клапана облегчают доступ, размещение и пришивание как в ходе традиционной, так и в ходе минимально инвазивной операции на клапанах сердца.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Процесс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AntiCa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+, является единственной технологией обработки, направленной против кальцификации в двух основных центрах связывания кальция.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Клапаны выпускаются посадочным диаметром от 23 до 31 мм.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Номинальные спецификации клапана (мм):                                                                                                                                                                                                                                            23мм  (Наружный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(основание) 26,5мм; Наружный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(кончик) 27мм; Наружный диаметр сшивающего кольца 33мм;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Вентрикулярная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проекция 12мм; Общая высота профиля 15мм).                                                                                                                                                                                                                                                              25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  (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Наружный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(основание) 28,5мм; Наружный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(кончик) 29мм; Наружный диаметр сшивающего кольца 36мм;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Вентрикулярная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проекция 12мм; Общая высота профиля 16мм).                                                                                                                                                                                                                                                              27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  (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Наружный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(основание) 29,5мм; Наружный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(кончик) 31мм; Наружный диаметр сшивающего кольца 38мм;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Вентрикулярная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проекция 13мм; Общая высота профиля 17мм).                                                                                                                                                                                                                                                              29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  (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Наружный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(основание) 32,5мм; Наружный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(кончик) 33мм; Наружный диаметр сшивающего кольца 41мм;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Вентрикулярная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проекция 14мм; Общая высота профиля 18мм).  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31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  (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Наружный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(основание) 32,5мм; Наружный диаметр стойки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стента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(кончик) 33мм; Наружный диаметр сшивающего кольца 43мм;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Вентрикулярная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проекция 14мм; Общая высота профиля 18мм.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2882" w14:textId="1CB7534A" w:rsidR="00B1340E" w:rsidRPr="00E62B5C" w:rsidRDefault="00E45B49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color w:val="000000"/>
              </w:rPr>
              <w:lastRenderedPageBreak/>
              <w:t>Ш</w:t>
            </w:r>
            <w:r w:rsidR="00B1340E">
              <w:rPr>
                <w:color w:val="000000"/>
              </w:rPr>
              <w:t>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C8C2" w14:textId="77DF07F0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BA9E6" w14:textId="4240896F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630 000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93DA" w14:textId="40E53BEB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1 260 000</w:t>
            </w:r>
          </w:p>
        </w:tc>
      </w:tr>
      <w:tr w:rsidR="00B1340E" w:rsidRPr="0011062E" w14:paraId="5D29EEFD" w14:textId="77777777" w:rsidTr="00B1340E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692F9" w14:textId="7D36E2EA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53D8" w14:textId="7D77C62D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периакрдиальный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митральный биопротез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42D5" w14:textId="4DACD42D" w:rsidR="00B1340E" w:rsidRPr="0011062E" w:rsidRDefault="00B1340E" w:rsidP="00B13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Клапан митральный состоит из кольцевого отверстия, двух створок, и сшивающей манжеты. Отверстие изготовлено из 100% пиролитического углерода, а створки </w:t>
            </w:r>
            <w:r w:rsidR="00E45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пиролитического углерода, полностью покрытого графитовой основой, пропитанной не менее 20% вольфрамом. Сшивающая манжета изготовлена из титанового или кобальтового хрома, 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полиэстерного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материала. Сшивающая манжета клапана сделана из двойного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полиэстерного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велюра. На манжете имеются маркеры (четыре на митральной манжете с интервалами не 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 90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градусов). Ручка/ротатор митрального клапана красного </w:t>
            </w:r>
            <w:proofErr w:type="spellStart"/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цвета.Диаметр</w:t>
            </w:r>
            <w:proofErr w:type="spellEnd"/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тканевого кольца не менее 19,5 мм, 21,5 мм, 23,5 мм, 25,5 мм, 27,5 мм, 29,5 мм,  31,5 мм, 33,5 мм. Диаметр внутреннего отверстия не менее 14,8 мм, 16,8 мм, 18,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 мм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20,8  мм, 22,8  мм, 24,8  мм, 26,8   мм, Площадь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внутренного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отверстия не менее  1.55, 2.02, 2.56,  3.17, 3.84, 4.59,   5.35, см2.    Метод 1 Стерилизация паром. Время: минимум 15 мин. Температура: минимум 1210С (2500F), максимум 1320С (2700F). Метод 2 Стерилизация паром. Время: минимум 4 мин. Температура: минимум 1320С (2700F), максимум 1350С (2750F). Срок годности: 5 лет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2DC83" w14:textId="353882FC" w:rsidR="00B1340E" w:rsidRPr="0011062E" w:rsidRDefault="00B1340E" w:rsidP="00B1340E">
            <w:pPr>
              <w:shd w:val="clear" w:color="auto" w:fill="FFFFFF"/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28699" w14:textId="5405C481" w:rsidR="00B1340E" w:rsidRDefault="00B1340E" w:rsidP="00B1340E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82E9" w14:textId="7C506339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630 000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4EAA1" w14:textId="32FB8429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1 260 000</w:t>
            </w:r>
          </w:p>
        </w:tc>
      </w:tr>
      <w:tr w:rsidR="00B1340E" w:rsidRPr="0011062E" w14:paraId="2516D423" w14:textId="77777777" w:rsidTr="00B1340E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E00E3" w14:textId="50384B5C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D995" w14:textId="76FAA91A" w:rsidR="00B1340E" w:rsidRPr="004D70E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Протез кондуит с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икусственным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клапаном сердца, размеры клапана 21, 23, 25, 27, 29, 31, 33 мм.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1027" w14:textId="0673FFD7" w:rsidR="00B1340E" w:rsidRPr="004D70E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Аортоклапанный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протез (кондуит). Протез клапана сердца двухстворчатый с линейным протезом восходящей дуги аорты. Тип клапана сердца – Механический. Материал подшиваемой манжеты полиэстер. Форма манжеты – усеченная,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цилиндро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-образная. Створки и внутреннее кольцо выполнены из пиролитического углерода. Профиль внутреннего кольца флюидальный. Угол 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раскрытия створок 78˚. Тип контакта створок «плоскость на плоскость». Расположение оси вращения створок в направлении противоположном току крови. Конструкция шарнирного механизма сопряженная полусфера. Внутренняя конструкция – Титановое кольцо жесткости, металлические фиксирующие кольца, отсутствие каких-либо проекционных структур в пределах отверстия для тока крови.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Рентгеноконтрастность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Высокая. Осевой механизм – Полностью омываемый. Возможность вращения In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Материал протеза сосуда вязаный полиэстер (дакрон). Особенность протеза сосуда – форма сосуда повторяет форму нативного синуса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Вальсальва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с вертикальной ориентацией гофра в области синуса. Пропитка протеза сосуда – модифицированный желатин. Хирургическая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порозность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нулевая. Биологическая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порозность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полная. Прочность на разрыв не менее 400 Н. Водопроницаемость менее 5мл/</w:t>
            </w:r>
            <w:proofErr w:type="spellStart"/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кв.см</w:t>
            </w:r>
            <w:proofErr w:type="spellEnd"/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120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Hg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Способность к удержанию шва – не менее 30 Н. Устойчивость к дилатации. Способность связывать антибиотики. Не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разволокняется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местах среза 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вкола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 требует специального шовного материала. Термокаутер стерильный, поставляется с каждым кондуитом. Одновременная первичная стерилизация для протеза клапана и сосуда. Длина тканевой части 10 см. Синус диаметра +8 мм. Размеры клапана 21, 23, 25, 27, 29 мм; Диаметр тканевого кольца 21,8 – 29,8; Внутренний диаметр 16,7 – 24,2 мм; Размер тканевой трубки 26, 28, 30, 32, 34 мм; Геометрическая площадь отверстия 2,07 – 4,44 см². Эффективная площадь отверстия 1,5 – 2,6 см². Поставляется стерильным.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9F02" w14:textId="1D8811A0" w:rsidR="00B1340E" w:rsidRPr="0011062E" w:rsidRDefault="00E45B49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color w:val="000000"/>
              </w:rPr>
              <w:lastRenderedPageBreak/>
              <w:t>Ш</w:t>
            </w:r>
            <w:r w:rsidR="00B1340E">
              <w:rPr>
                <w:color w:val="000000"/>
              </w:rPr>
              <w:t>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C65A" w14:textId="7250DA67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2E23" w14:textId="22D79D20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1100000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941C" w14:textId="44B3AA45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1 100 000</w:t>
            </w:r>
          </w:p>
        </w:tc>
      </w:tr>
      <w:tr w:rsidR="00B1340E" w:rsidRPr="0011062E" w14:paraId="2D393067" w14:textId="77777777" w:rsidTr="00364E1C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401B4" w14:textId="0602B477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5B2B" w14:textId="68FDD530" w:rsidR="00B1340E" w:rsidRPr="006F3642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Супрааннулярный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аортальный искусственный клапан сердца, размеры 19, 21, 23, 25, 27 мм.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02F00" w14:textId="3F66F683" w:rsidR="00B1340E" w:rsidRPr="006F3642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Cердечный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клапан с открытой системой крепления 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створок  -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аортальный представляет собой вращающийся вокруг оси, двухстворчатый, низкорасположенный, искусственный сердечный клапан, Каркас изготовлен из 100% пиролитического углерода, а створки </w:t>
            </w:r>
            <w:r w:rsidR="00E45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пиролитического углерода, полностью покрытого графитовой основой, пропитанной 20% вольфрамом. В центре каркаса имеется прочное кольцо из сплава MP35N.  Каждая створка открывается максимум на 85 ° с максимальной дугой 60 ° всех размеров. Низкий профиль протеза является результатом дизайна двойной створки со сводными областями, расположенными полностью в отверстии кольца. Этот метод конструкции минимизирует общую высоту клапана. Движение створки контролируется направляющими стержнями, расположенными на внутренней окружности отверстия кольца, а створки плавно перемещаться в пределах этих направляющих. В районе поворота отсутствуют углубления или полости. Сшивающая манжета клапана 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низкопрофильная,  сделана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двойного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полиэстерного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велюра.На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манжете имеются маркеры (три на аортальной манжете с интервалами 120 градусов). Диаметр тканевого кольца 16,2 мм /  18,2 мм/   20,2 мм /   22,2 мм  / 24,2 мм  / 26,2 мм  / 28,2 мм   Диаметр внутреннего отверстия 14,8 / 16,8 / 18,8  / 20,8 / 22,8 / 24,8  / 26,8мм  Площадь внутреннего отверстия 1,55 см2/ 2,02 см2/ 2,56 см2 / 3,17 см2  / 3,84 см2/ 4,59 см2/ 5,35 см2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Срок годности: 5 лет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Однократного применения, стерильный.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Бережная транспортировка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Сердечный клапан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Medtronic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Open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Pivot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™ должен храниться в контролируемой среде при комнатной температуре (15°С/59°Ф до 30°C/86°Ф).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FD8C" w14:textId="69F1317E" w:rsidR="00B1340E" w:rsidRPr="006F3642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6C8F0" w14:textId="6504A096" w:rsidR="00B1340E" w:rsidRPr="006F3642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7A60" w14:textId="7D919752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90E2" w14:textId="55671628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</w:t>
            </w:r>
          </w:p>
        </w:tc>
      </w:tr>
      <w:tr w:rsidR="00B1340E" w:rsidRPr="0011062E" w14:paraId="7902BA60" w14:textId="77777777" w:rsidTr="00364E1C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DC9F8" w14:textId="78B4E9FC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F2E8" w14:textId="6CE876C4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Искусственные клапаны сердца аортальные и митральные, размеры 16, 18, 21, 23, 25, 27, 29, 31, 33 мм.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87084" w14:textId="517A1A89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Двустворчатый клапан с универсальной, гибкой манжетой из полиэстера с 4 имплантационными метками. Количество ориентационных меток 4. Позиция имплантации –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интра-аннулярная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супра-аннулярная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субаннулярная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Створки и внутреннее кольцо выполнены из пиролитического углерода. Угол раскрытия створок 78˚. Внутренняя конструкция – Титановое кольцо жесткости, металлические фиксирующие кольца. Конструкция шарнирного механизма – сопряженная полусфера. Контакт створок «плоскость на плоскость». Расположение оси в направлении противоположном току крови вращения створок.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Рентгеноконтрастность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Высокая. Осевой механизм полностью омываемый. Возможность вращения In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Размеры и параметры клапана: 16, 18, 19, 21, 23, 25, 27, 29, 31, 33 мм; Диаметр тканевого кольца 16.2, 18.8, 19.8, 21.8, 23.8, 25.8, 27.8, 29.8, 31.8, 33.8 мм; Внутренний диаметр 14.7, 16.7, 18.5, 20.5, 22.5, 24.2 мм; Высота 6.2, 6.6, 7.3, 7.7, 8.4, 8.7 мм; Геометрическая площадь отверстия 1.59, 2.07, 2.56, 3.16, 3.84, 4.44 см²; Эффективная площадь отверстия 1.0, 1.5, 1.6, 2.0, 2.4, 2.6 см². Поставляется стерильным.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167AC" w14:textId="1AB00485" w:rsidR="00B1340E" w:rsidRDefault="00E45B49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B1340E"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304BB" w14:textId="4F2F17D3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4C34" w14:textId="5CB1C64D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51A9" w14:textId="2B117135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</w:t>
            </w:r>
          </w:p>
        </w:tc>
      </w:tr>
      <w:tr w:rsidR="00B1340E" w:rsidRPr="0011062E" w14:paraId="18197EB9" w14:textId="77777777" w:rsidTr="00364E1C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CD9B5" w14:textId="2F1B55F9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8C3CE" w14:textId="2D211F5C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Кольцо для пластики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трикуспидального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клапана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8184" w14:textId="5458DCD3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Кольцо для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ремоделирования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трехстворчатого клапана трехмерной анатомической формы. Материал кольца: титановый немагнитный рентген-контрастный стержень, силикон, наружное покрытие плетенный полиэстер. Передняя часть кольца выполнена из плетенного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полиэстра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 кольцо нанесены зеленые маркеры ориентации на фиброзные треугольники и маркер оптимального расположения швов.  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Кольцо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законченное по форме и имеет два приближенных друг к другу, регулируемых в процессе установки, закругленных конца. Профиль кольца не более 3,3 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  Фиксировано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пластиковом держателе. Обеспечивает сохранение естественной систолической формы кольца 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клапана при подшивании кольца, завязывании швов, проверки компетентности клапана.  Упаковано стерильным в двойной асептический пакет. Выпускаются кольца 6 размеров- 26, 28, 30, 32, 34,36 мм.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169F7" w14:textId="31D655A0" w:rsidR="00B1340E" w:rsidRDefault="00E45B49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</w:t>
            </w:r>
            <w:r w:rsidR="00B1340E"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E75E" w14:textId="0743A961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FBA8" w14:textId="49C5999F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3546" w14:textId="3CA3491F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</w:t>
            </w:r>
          </w:p>
        </w:tc>
      </w:tr>
      <w:tr w:rsidR="00B1340E" w:rsidRPr="0011062E" w14:paraId="76391CD7" w14:textId="77777777" w:rsidTr="00364E1C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90BDC" w14:textId="081465E3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C7EC" w14:textId="6ABCE476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Кольца для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аннулопластики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гибкие и жесткие,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Annuloflo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Annuloflex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Memo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3D. Размеры: 26, 28; 30, 32, 34, 36 мм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A69C6" w14:textId="701C696F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Полужесткое кольцо 3D для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аннулопластики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 эластичной клеточной структурой для придания индивидуальной формы, соответствующей 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физиологическому строению митрального фиброзного кольца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повторяет его трехмерное движение. Покрытие кольца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Carbofilm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Материал оболочки – плотный вязанный полиэстер; осевой материал – полиэфирный шнур; наличие ориентационных меток; поставляется стерильным; прикреплено к удерживающей платформе; размеры – 24, 26, 28, 30, 32, 34, 36, 38.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89DE1" w14:textId="36224E18" w:rsidR="00B1340E" w:rsidRDefault="00E45B49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r w:rsidR="00B1340E"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DAF7C" w14:textId="27038647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ED82" w14:textId="4D431A40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5651" w14:textId="2252D587" w:rsidR="00B1340E" w:rsidRPr="0011062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1 584 000</w:t>
            </w:r>
          </w:p>
        </w:tc>
      </w:tr>
      <w:tr w:rsidR="00B1340E" w:rsidRPr="0011062E" w14:paraId="51B56BD3" w14:textId="77777777" w:rsidTr="00C639AB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66677" w14:textId="74AA4B57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5C34A" w14:textId="0623A96B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Линейный сосудистый протез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вязанный с коллагеном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1C279" w14:textId="1283568D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Сосудистый протез вязаный с коллагеном линейный представляет собой трубку, изготовленную из полиэфирной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филаментной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нити по технологии основовязального производства. Толщина стенки – 0.5 мм. Плотность плетения: 13 ± 2 вертикальных ряда на 23± 2 горизонтальных ряда. Пористость 69%. Сила на растяжение: в поперечном направлении 70 Н/см, в радиальном направлении 60 Н/см. Сила на разрыв: 200Н.Сила удержания нити 25Н. Параметры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монофиламенной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нити используемой для плетения протеза: сила на растяжение – 40-100Н, диаметр 0.45-0.55 мм, точка плавления 125-135С. На передней стенке протеза нанесена цветная направляющая линия, облегчающая хирургу ориентацию в операционной ране при имплантации. На поверхность протеза нанесен сплошной слой химически модифицированного бычьего коллагена что способствует врастанию тканей в имплантат и полной непроницаемости стенки протеза. Водопроницаемость менее 5 мл/см2 при 120 мм </w:t>
            </w:r>
            <w:proofErr w:type="spellStart"/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Hg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Гофрированная 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поверхность с целью сохранения просвета при условии сгибания или сложной анатомия и обеспечения оптимальной гемодинамики по протезу. Предусмотренная возможность использовать протезы для операций по протезированию в аорто-бедренной,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подвзодошно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-бедренной 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бедренно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-подколенной областях. Для экстракраниального шунтирования, для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экстранатомических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шунтов. Возможность использования протеза для реконструкции артерий без большой кровопотери. Возможность имплантировать сосудистый протез без какой-либо подготовки. Возможность уменьшить протез, путем подрезания концов ножницами и отсутствие его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разволокнения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после подрезания. Возможность использования протеза с зажимами при условии надевания на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бранши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зажимов резиновых трубок. Имплантация на фоне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гепаринизации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пациента. Совместимость с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монофиламентной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атравматической нитью для сосудистой хирургии. Не содержит формальдегид или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глутаровый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альдегид. Требуемая размерная линейка: Длина 700 мм, диаметром 18 мм, 20 мм, 22 мм, 24 мм, 25 мм, 26 мм, 28 мм, 30 мм, 32 мм..  Соответствует требованиям и стандартам ЕС (СЕ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mark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).  Упаковка индивидуальная, стерильная. Состав одного комплекта содержит: протез. Способ стерилизации 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гамма облучение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достижением параметров стерилизации: микробное обсеменение до 1000 CFU/g, бактериальные эндотоксины до 0.08 EU/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Срок стерильности с момента изготовления 3 года.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9EEF" w14:textId="688F9BFB" w:rsidR="00B1340E" w:rsidRPr="00B1340E" w:rsidRDefault="00E45B49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</w:t>
            </w:r>
            <w:r w:rsidR="00B1340E"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FDC8" w14:textId="70119814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BC05" w14:textId="6E042868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E7E7" w14:textId="308F0269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2 298 000</w:t>
            </w:r>
          </w:p>
        </w:tc>
      </w:tr>
      <w:tr w:rsidR="00B1340E" w:rsidRPr="0011062E" w14:paraId="02C3D2B9" w14:textId="77777777" w:rsidTr="00C639AB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20F2" w14:textId="44192C1C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E89C" w14:textId="21271DAD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Бифуркационный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сосудичтый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протез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вязанный с коллагеном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09CE3" w14:textId="539C0DFA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Сосудистый протез вязаный с коллагеном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бифуркационный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представляет собой трубку, изготовленную из полиэфирной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филаментной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нити по технологии основовязального производства. Толщина стенки – 0.5 мм. Плотность плетения: 13 ± 2 вертикальных ряда на 23± 2 горизонтальных ряда. Пористость 69%. Сила на растяжение: в поперечном направлении 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70 Н/см, в радиальном направлении 60 Н/см. Сила на разрыв: 200Н.Сила удержания нити 25Н. Параметры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монофиламенной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нити используемой для плетения протеза: сила на растяжение – 40-100Н, диаметр 0.45-0.55 мм, точка плавления 125-135С. На передней стенке протеза нанесена цветная направляющая линия, облегчающая хирургу ориентацию в операционной ране при имплантации. На поверхность протеза нанесен сплошной слой химически модифицированного бычьего коллагена что способствует врастанию тканей в имплантат и полной непроницаемости стенки протеза. Водопроницаемость менее 5 мл/см2 при 120 мм </w:t>
            </w:r>
            <w:proofErr w:type="spellStart"/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Hg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Гофрированная поверхность с целью сохранения просвета при условии сгибания или сложной анатомия и обеспечения оптимальной гемодинамики по 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протезу..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Предусмотренная возможность использовать протезы для операций по протезированию в аорто-бедренной,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подвзодошно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-бедренной 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бедренно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-подколенной областях. Для экстракраниального шунтирования, для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экстранатомических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шунтов. Возможность использования протеза для реконструкции артерий без большой кровопотери. Возможность имплантировать сосудистый протез без какой-либо подготовки. Возможность уменьшить протез, путем подрезания концов ножницами и отсутствие его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разволокнения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после подрезания. Возможность использования протеза с зажимами при условии надевания на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бранши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зажимов резиновых трубок. Имплантация на фоне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гепаринизации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пациента. Совместимость с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монофиламентной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атравматической нитью для сосудистой хирургии. Не содержит формальдегид или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глутаровый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альдегид.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Бифуркационный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протез: длина 450 мм, диаметр (после бифуркации/до бифуркации) 6/12 мм, 7/14 мм, 8/16, 9/18, 10/20, 11/22. Соответствует требованиям и стандартам ЕС (СЕ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mark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).  </w:t>
            </w: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Упаковка индивидуальная, стерильная. Состав одного комплекта содержит: протез. Способ стерилизации </w:t>
            </w:r>
            <w:proofErr w:type="gram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гамма облучение</w:t>
            </w:r>
            <w:proofErr w:type="gram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достижением параметров стерилизации: микробное обсеменение до 1000 CFU/g, бактериальные эндотоксины до 0.08 EU/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ml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Срок стерильности с момента изготовления 3 года.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F7FD1" w14:textId="3F1410A4" w:rsidR="00B1340E" w:rsidRPr="00B1340E" w:rsidRDefault="00E45B49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</w:t>
            </w:r>
            <w:r w:rsidR="00B1340E"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7361D" w14:textId="6524CBD7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D16B" w14:textId="4FACD0F2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315400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602BD" w14:textId="33D8A596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946 200</w:t>
            </w:r>
          </w:p>
        </w:tc>
      </w:tr>
      <w:tr w:rsidR="00B1340E" w:rsidRPr="0011062E" w14:paraId="7A37A10D" w14:textId="77777777" w:rsidTr="00B1340E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33A49" w14:textId="52E6E80B" w:rsid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767A9" w14:textId="5379892C" w:rsidR="00B1340E" w:rsidRPr="00B1340E" w:rsidRDefault="00B1340E" w:rsidP="00B134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Катетр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внутривенный для радиочастотной коагуляции</w:t>
            </w:r>
          </w:p>
          <w:p w14:paraId="3EBFC6EE" w14:textId="77777777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36912" w14:textId="77777777" w:rsidR="00B1340E" w:rsidRPr="00B1340E" w:rsidRDefault="00B1340E" w:rsidP="00B134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Катетер для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эндовенозной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радиочастотной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аблации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Катетеры для радиочастотной коагуляции предназначены для проведения процедуры 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эндовазальной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радиочастотной облитерации вен нижних конечностей. Используются при лечении варикозной болезни вен и хронической венозной недостаточности нижних конечностей. Одноразовый, диаметр 7F.  (в комплекте иглы/магистрали/</w:t>
            </w:r>
            <w:proofErr w:type="spellStart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интродьюсер</w:t>
            </w:r>
            <w:proofErr w:type="spellEnd"/>
            <w:r w:rsidRPr="00B13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/гели для УЗИ одноразовые)</w:t>
            </w:r>
          </w:p>
          <w:p w14:paraId="5E3F6C14" w14:textId="77777777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3061" w14:textId="248B43C7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CF68" w14:textId="0DB3F8F2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F9E45" w14:textId="4C62129C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135 000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C6F0" w14:textId="6970DB70" w:rsidR="00B1340E" w:rsidRPr="00B1340E" w:rsidRDefault="00B1340E" w:rsidP="00B1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1 350 000</w:t>
            </w:r>
          </w:p>
        </w:tc>
      </w:tr>
      <w:tr w:rsidR="00E45B49" w:rsidRPr="0011062E" w14:paraId="5C57C0B5" w14:textId="77777777" w:rsidTr="00B1340E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5A6F3" w14:textId="7FCF4BA6" w:rsidR="00E45B49" w:rsidRDefault="00E45B49" w:rsidP="00E4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B93B" w14:textId="1B0B31FC" w:rsidR="00E45B49" w:rsidRPr="00B1340E" w:rsidRDefault="00E45B49" w:rsidP="00E45B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рассасывающийся атравматическая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шовная  Нить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(8/0) 60 см две иглы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колющия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игла 8 мм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Сосудистой хирургий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Диаметр тела иглы - 0,1524 мм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8D722" w14:textId="3B30CF10" w:rsidR="00E45B49" w:rsidRPr="00B1340E" w:rsidRDefault="00E45B49" w:rsidP="00E45B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стерильная хирургическая, синтетическая,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нерассасывающаяся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монофиламентная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изготовленная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 изотактического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кристаллического стереоизомера полипропилена - синтетического линейного полиолефина.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 окрашена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контрастный  цвет для улучшения визуализации в ране.  Метрический размер 0,4, условный размер 8/0. Длина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нити  60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см. Две иглы. Иглы изготовлены из коррозионностойкого высокопрочного сплава, обработана двойным слоем силикона, что способствует уменьшению трения между иглой и тканями. Материал иглы на 40% более устойчив к необратимой деформации (изгибу), чем иглы из обычной нержавеющей стали, что предотвращает необходимость замены иглы, улучшает контроль над иглой и уменьшает травмирование тканей. Металл иглы создан на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базе специфической углеродной микроструктуры, характеризующейся максимальной прочностью, дополняемой явлением технологической "памяти металла".  Иглы имеют конструкцию, увеличивающую надежность их фиксации в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иглодержателе  и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фиксации под различными углами в иглодержателе за счет  скругленных углов корпуса.  Иглы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колющие,  3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/8  окружности, 8 мм длиной. Диаметр тела иглы - 0,1524 мм. Колющий кончик игл имеет угол сужения 45 градусов для обеспечения большей прочности и остроты иглы. Игла имеет увеличенный ресурс проколов за счет специальной обработки поверхности двойным слоем силикона, что способствует уменьшению трения между иглой и тканями, и облегчает проведение иглы через ткани. Стерильный внутренний вкладыш с шовным материалом упакован в индивидуальную одинарную стерильную полимерно-бумажную упаковку, которая представляет собой пакет из медицинской бумаги и прозрачного полимера, обеспечивающую сохранение стерильности шовного материала и его функциональных свойств с учетом условий его применения, транспортирования, хранения и срока годности; защищающую содержимое от влаги; обеспечивающую доступ к внутреннему вкладышу в одно движение для минимизации временных затрат на манипуляции с нитью. Маркировка внутреннего вкладыша содержит наименование шовного материала, его состав, товарный знак производителя, наименование производителя, матричный код, каталожный номер, условный и метрический размер нити, цвет нити, длину нити, количество нитей; длины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иглы, обозначение типа иглы, кривизны иглы, изображение иглы в натуральную величину, количество игл, указание о стерильности с указанием метода стерилизации, указание об однократном применении.  Специальная технология укладки нити на внутреннем вкладыше обеспечивает ее прямолинейность после извлечения, минимизируя возникновение эффекта "памяти формы". Игла зафиксирована, не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задействуя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острие иглы на внутреннем лотке, что предотвращает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затупление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острия.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23739" w14:textId="5A846F5A" w:rsidR="00E45B49" w:rsidRDefault="00E45B49" w:rsidP="00E45B49">
            <w:pPr>
              <w:spacing w:after="0" w:line="240" w:lineRule="auto"/>
              <w:jc w:val="center"/>
              <w:rPr>
                <w:color w:val="000000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D79EC" w14:textId="25B0C808" w:rsidR="00E45B49" w:rsidRDefault="00E45B49" w:rsidP="00E45B49">
            <w:pPr>
              <w:spacing w:after="0" w:line="240" w:lineRule="auto"/>
              <w:jc w:val="center"/>
              <w:rPr>
                <w:color w:val="000000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2202" w14:textId="09F6A9CF" w:rsidR="00E45B49" w:rsidRDefault="00E45B49" w:rsidP="00E45B4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8800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8750" w14:textId="56DD27F0" w:rsidR="00E45B49" w:rsidRDefault="00E45B49" w:rsidP="00E45B4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704 000</w:t>
            </w:r>
          </w:p>
        </w:tc>
      </w:tr>
      <w:tr w:rsidR="008114CD" w:rsidRPr="0011062E" w14:paraId="6F608B1C" w14:textId="77777777" w:rsidTr="009E1E2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C20" w14:textId="77777777" w:rsidR="008114CD" w:rsidRPr="0011062E" w:rsidRDefault="008114CD" w:rsidP="00811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FA9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5FC9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03F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CA4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B8E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F778" w14:textId="09F54E62" w:rsidR="008114CD" w:rsidRPr="0011062E" w:rsidRDefault="00E45B49" w:rsidP="009E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13302200</w:t>
            </w:r>
          </w:p>
        </w:tc>
      </w:tr>
    </w:tbl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0E5FE00" w:rsidR="001A6DDE" w:rsidRPr="00913755" w:rsidRDefault="00AE19C3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 w:rsidR="00DC7575">
        <w:rPr>
          <w:rFonts w:ascii="Times New Roman" w:hAnsi="Times New Roman" w:cs="Times New Roman"/>
          <w:b/>
        </w:rPr>
        <w:t>Берикова</w:t>
      </w:r>
      <w:proofErr w:type="spellEnd"/>
      <w:r w:rsidR="00DC7575">
        <w:rPr>
          <w:rFonts w:ascii="Times New Roman" w:hAnsi="Times New Roman" w:cs="Times New Roman"/>
          <w:b/>
        </w:rPr>
        <w:t xml:space="preserve">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215C"/>
    <w:rsid w:val="000635B2"/>
    <w:rsid w:val="00077FD6"/>
    <w:rsid w:val="00084ADA"/>
    <w:rsid w:val="00086576"/>
    <w:rsid w:val="00094A93"/>
    <w:rsid w:val="000A0585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600A"/>
    <w:rsid w:val="001F68F9"/>
    <w:rsid w:val="00201663"/>
    <w:rsid w:val="0020540D"/>
    <w:rsid w:val="002302CC"/>
    <w:rsid w:val="00236A24"/>
    <w:rsid w:val="002427DF"/>
    <w:rsid w:val="0025126F"/>
    <w:rsid w:val="002734C4"/>
    <w:rsid w:val="0027427F"/>
    <w:rsid w:val="00290F51"/>
    <w:rsid w:val="00293A46"/>
    <w:rsid w:val="002A242C"/>
    <w:rsid w:val="002A6D61"/>
    <w:rsid w:val="002B758E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F4228"/>
    <w:rsid w:val="003F7153"/>
    <w:rsid w:val="004057E5"/>
    <w:rsid w:val="00412694"/>
    <w:rsid w:val="00413619"/>
    <w:rsid w:val="004170FF"/>
    <w:rsid w:val="004319B1"/>
    <w:rsid w:val="00431EBC"/>
    <w:rsid w:val="00452180"/>
    <w:rsid w:val="00453641"/>
    <w:rsid w:val="004539C0"/>
    <w:rsid w:val="00470068"/>
    <w:rsid w:val="0047737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B7BCB"/>
    <w:rsid w:val="006C15FB"/>
    <w:rsid w:val="006E3528"/>
    <w:rsid w:val="006E712D"/>
    <w:rsid w:val="006E7ABC"/>
    <w:rsid w:val="006F3642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923BF"/>
    <w:rsid w:val="00AA1998"/>
    <w:rsid w:val="00AC1FBA"/>
    <w:rsid w:val="00AC6107"/>
    <w:rsid w:val="00AC63CD"/>
    <w:rsid w:val="00AD15B7"/>
    <w:rsid w:val="00AD5F07"/>
    <w:rsid w:val="00AD74D6"/>
    <w:rsid w:val="00AE19C3"/>
    <w:rsid w:val="00AF7902"/>
    <w:rsid w:val="00B0751E"/>
    <w:rsid w:val="00B1340E"/>
    <w:rsid w:val="00B20F89"/>
    <w:rsid w:val="00B305EA"/>
    <w:rsid w:val="00B60E79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2AB8"/>
    <w:rsid w:val="00E34A9E"/>
    <w:rsid w:val="00E42FD2"/>
    <w:rsid w:val="00E43B9C"/>
    <w:rsid w:val="00E45B49"/>
    <w:rsid w:val="00E54437"/>
    <w:rsid w:val="00E62B5C"/>
    <w:rsid w:val="00E73CA9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5CCD"/>
    <w:rsid w:val="00F66FE0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14</Pages>
  <Words>4108</Words>
  <Characters>23420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40</cp:revision>
  <cp:lastPrinted>2024-03-01T11:14:00Z</cp:lastPrinted>
  <dcterms:created xsi:type="dcterms:W3CDTF">2023-04-14T05:22:00Z</dcterms:created>
  <dcterms:modified xsi:type="dcterms:W3CDTF">2024-03-01T11:44:00Z</dcterms:modified>
</cp:coreProperties>
</file>