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07237049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0D7DEB">
        <w:rPr>
          <w:b/>
          <w:bCs/>
          <w:kern w:val="32"/>
          <w:sz w:val="28"/>
          <w:szCs w:val="28"/>
        </w:rPr>
        <w:t>92</w:t>
      </w:r>
      <w:r w:rsidR="00797DB4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797DB4">
        <w:rPr>
          <w:b/>
          <w:bCs/>
          <w:kern w:val="32"/>
          <w:sz w:val="28"/>
          <w:szCs w:val="28"/>
        </w:rPr>
        <w:t>1</w:t>
      </w:r>
      <w:r w:rsidR="000D7DEB">
        <w:rPr>
          <w:b/>
          <w:bCs/>
          <w:kern w:val="32"/>
          <w:sz w:val="28"/>
          <w:szCs w:val="28"/>
        </w:rPr>
        <w:t>2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797DB4">
        <w:rPr>
          <w:b/>
          <w:bCs/>
          <w:kern w:val="32"/>
          <w:sz w:val="28"/>
          <w:szCs w:val="28"/>
          <w:lang w:val="kk-KZ"/>
        </w:rPr>
        <w:t>февраля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6F496D2B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bookmarkStart w:id="0" w:name="_Hlk155965856"/>
      <w:r w:rsidR="00DB04DA" w:rsidRPr="00DB04DA">
        <w:rPr>
          <w:sz w:val="28"/>
          <w:szCs w:val="28"/>
        </w:rPr>
        <w:t xml:space="preserve">по </w:t>
      </w:r>
      <w:r w:rsidR="002473B3" w:rsidRPr="00DB04DA">
        <w:rPr>
          <w:sz w:val="28"/>
          <w:szCs w:val="28"/>
        </w:rPr>
        <w:t xml:space="preserve">закупу </w:t>
      </w:r>
      <w:bookmarkStart w:id="1" w:name="_Hlk155967381"/>
      <w:bookmarkEnd w:id="0"/>
      <w:r w:rsidR="00797DB4" w:rsidRPr="0002286A">
        <w:rPr>
          <w:sz w:val="28"/>
          <w:szCs w:val="28"/>
        </w:rPr>
        <w:t>медицинских изделий на 202</w:t>
      </w:r>
      <w:r w:rsidR="00797DB4">
        <w:rPr>
          <w:sz w:val="28"/>
          <w:szCs w:val="28"/>
        </w:rPr>
        <w:t>4</w:t>
      </w:r>
      <w:r w:rsidR="00797DB4" w:rsidRPr="0002286A">
        <w:rPr>
          <w:sz w:val="28"/>
          <w:szCs w:val="28"/>
        </w:rPr>
        <w:t xml:space="preserve"> год</w:t>
      </w:r>
      <w:bookmarkEnd w:id="1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06A2185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732176" w:rsidRPr="00DB04DA">
        <w:rPr>
          <w:sz w:val="28"/>
          <w:szCs w:val="24"/>
        </w:rPr>
        <w:t xml:space="preserve">закупу </w:t>
      </w:r>
      <w:r w:rsidR="00797DB4" w:rsidRPr="0002286A">
        <w:rPr>
          <w:sz w:val="28"/>
          <w:szCs w:val="28"/>
        </w:rPr>
        <w:t>медицинских изделий на 202</w:t>
      </w:r>
      <w:r w:rsidR="00797DB4">
        <w:rPr>
          <w:sz w:val="28"/>
          <w:szCs w:val="28"/>
        </w:rPr>
        <w:t>4</w:t>
      </w:r>
      <w:r w:rsidR="00797DB4" w:rsidRPr="0002286A">
        <w:rPr>
          <w:sz w:val="28"/>
          <w:szCs w:val="28"/>
        </w:rPr>
        <w:t xml:space="preserve"> 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08E8E4BF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732176" w:rsidRPr="00732176">
        <w:rPr>
          <w:b/>
          <w:szCs w:val="24"/>
        </w:rPr>
        <w:t xml:space="preserve">закупу </w:t>
      </w:r>
      <w:r w:rsidR="00797DB4" w:rsidRPr="00797DB4">
        <w:rPr>
          <w:b/>
          <w:szCs w:val="24"/>
        </w:rPr>
        <w:t>медицинских изделий на 2024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9324A4" w:rsidRPr="002473B3">
        <w:rPr>
          <w:b/>
          <w:szCs w:val="24"/>
        </w:rPr>
        <w:t>0</w:t>
      </w:r>
      <w:r w:rsidR="002473B3" w:rsidRPr="00797DB4">
        <w:rPr>
          <w:b/>
          <w:szCs w:val="24"/>
        </w:rPr>
        <w:t>5</w:t>
      </w:r>
      <w:r w:rsidR="009324A4" w:rsidRPr="00797DB4">
        <w:rPr>
          <w:b/>
          <w:szCs w:val="24"/>
        </w:rPr>
        <w:t xml:space="preserve"> </w:t>
      </w:r>
      <w:r w:rsidR="00797DB4">
        <w:rPr>
          <w:b/>
          <w:szCs w:val="24"/>
        </w:rPr>
        <w:t>марта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2" w:name="SUB4200"/>
      <w:bookmarkEnd w:id="2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54B595B8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2473B3">
        <w:rPr>
          <w:b/>
          <w:sz w:val="28"/>
          <w:szCs w:val="24"/>
          <w:lang w:val="kk-KZ"/>
        </w:rPr>
        <w:t>05</w:t>
      </w:r>
      <w:r w:rsidR="009324A4">
        <w:rPr>
          <w:b/>
          <w:sz w:val="28"/>
          <w:szCs w:val="24"/>
          <w:lang w:val="kk-KZ"/>
        </w:rPr>
        <w:t xml:space="preserve"> </w:t>
      </w:r>
      <w:r w:rsidR="00797DB4">
        <w:rPr>
          <w:b/>
          <w:sz w:val="28"/>
          <w:szCs w:val="24"/>
          <w:lang w:val="kk-KZ"/>
        </w:rPr>
        <w:t>марта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3" w:name="SUB3700"/>
      <w:bookmarkStart w:id="4" w:name="SUB3800"/>
      <w:bookmarkEnd w:id="3"/>
      <w:bookmarkEnd w:id="4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5" w:name="SUB3200"/>
      <w:bookmarkEnd w:id="5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000A6911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2473B3">
        <w:rPr>
          <w:b/>
          <w:sz w:val="28"/>
          <w:szCs w:val="24"/>
          <w:lang w:val="kk-KZ"/>
        </w:rPr>
        <w:t>05</w:t>
      </w:r>
      <w:r w:rsidR="009324A4">
        <w:rPr>
          <w:b/>
          <w:sz w:val="28"/>
          <w:szCs w:val="24"/>
          <w:lang w:val="kk-KZ"/>
        </w:rPr>
        <w:t xml:space="preserve"> </w:t>
      </w:r>
      <w:r w:rsidR="00797DB4">
        <w:rPr>
          <w:b/>
          <w:sz w:val="28"/>
          <w:szCs w:val="24"/>
          <w:lang w:val="kk-KZ"/>
        </w:rPr>
        <w:t>марта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39507DFB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2473B3">
        <w:rPr>
          <w:b/>
          <w:szCs w:val="24"/>
          <w:lang w:val="kk-KZ"/>
        </w:rPr>
        <w:t>05</w:t>
      </w:r>
      <w:r w:rsidR="009324A4">
        <w:rPr>
          <w:b/>
          <w:szCs w:val="24"/>
          <w:lang w:val="kk-KZ"/>
        </w:rPr>
        <w:t xml:space="preserve"> </w:t>
      </w:r>
      <w:r w:rsidR="00797DB4">
        <w:rPr>
          <w:b/>
          <w:szCs w:val="24"/>
          <w:lang w:val="kk-KZ"/>
        </w:rPr>
        <w:t>марта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6" w:name="SUB5600"/>
      <w:bookmarkStart w:id="7" w:name="SUB5700"/>
      <w:bookmarkEnd w:id="6"/>
      <w:bookmarkEnd w:id="7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8" w:name="SUB6000"/>
      <w:bookmarkEnd w:id="8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9" w:name="SUB7100"/>
      <w:bookmarkStart w:id="10" w:name="SUB7200"/>
      <w:bookmarkEnd w:id="9"/>
      <w:bookmarkEnd w:id="10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1" w:name="SUB7300"/>
      <w:bookmarkEnd w:id="11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470" w:type="dxa"/>
              <w:tblLayout w:type="fixed"/>
              <w:tblLook w:val="04A0" w:firstRow="1" w:lastRow="0" w:firstColumn="1" w:lastColumn="0" w:noHBand="0" w:noVBand="1"/>
            </w:tblPr>
            <w:tblGrid>
              <w:gridCol w:w="926"/>
              <w:gridCol w:w="1235"/>
              <w:gridCol w:w="3935"/>
              <w:gridCol w:w="925"/>
              <w:gridCol w:w="1059"/>
              <w:gridCol w:w="1029"/>
              <w:gridCol w:w="1507"/>
              <w:gridCol w:w="1290"/>
              <w:gridCol w:w="958"/>
              <w:gridCol w:w="1600"/>
              <w:gridCol w:w="6"/>
            </w:tblGrid>
            <w:tr w:rsidR="00441236" w:rsidRPr="00441236" w14:paraId="7A34A545" w14:textId="77777777" w:rsidTr="00441236">
              <w:trPr>
                <w:trHeight w:val="300"/>
              </w:trPr>
              <w:tc>
                <w:tcPr>
                  <w:tcW w:w="1447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0EDCAC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41236" w:rsidRPr="00441236" w14:paraId="4F5EF1C5" w14:textId="77777777" w:rsidTr="00441236">
              <w:trPr>
                <w:gridAfter w:val="1"/>
                <w:wAfter w:w="6" w:type="dxa"/>
                <w:trHeight w:val="1680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0B552C2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734BEB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D85049E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0ED33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ACA29E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8B5F72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7D77F83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143B79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DE78841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663025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441236" w:rsidRPr="00441236" w14:paraId="79C3798C" w14:textId="77777777" w:rsidTr="00441236">
              <w:trPr>
                <w:gridAfter w:val="1"/>
                <w:wAfter w:w="6" w:type="dxa"/>
                <w:trHeight w:val="30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6DE4C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EDF0A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535C1A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54250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1D37D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0F3F2B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9B35ED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14A9B2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62EE56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024AB10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441236" w:rsidRPr="00441236" w14:paraId="68DC4517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619990" w14:textId="2ADE2877" w:rsidR="00441236" w:rsidRPr="00441236" w:rsidRDefault="00797DB4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4CE39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C4974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Емкости полимерные одноразовые стерильные для 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рентгеноконтрастных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веществ и физиологического р-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ра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 составе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ECAD8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9DDFF" w14:textId="77777777" w:rsidR="00441236" w:rsidRPr="00797DB4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97DB4">
                    <w:rPr>
                      <w:color w:val="000000"/>
                      <w:sz w:val="22"/>
                      <w:szCs w:val="22"/>
                    </w:rPr>
                    <w:t>275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56643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E7CA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10C5C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7FEB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8A1F36" w14:textId="77777777" w:rsidR="00441236" w:rsidRPr="00797DB4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bookmarkStart w:id="12" w:name="_Hlk158712095"/>
                  <w:r w:rsidRPr="00797DB4">
                    <w:rPr>
                      <w:color w:val="000000"/>
                      <w:sz w:val="22"/>
                      <w:szCs w:val="22"/>
                    </w:rPr>
                    <w:t>8539025</w:t>
                  </w:r>
                  <w:bookmarkEnd w:id="12"/>
                </w:p>
              </w:tc>
            </w:tr>
            <w:tr w:rsidR="00FA747E" w:rsidRPr="00441236" w14:paraId="4263C68F" w14:textId="77777777" w:rsidTr="00441236">
              <w:trPr>
                <w:gridAfter w:val="1"/>
                <w:wAfter w:w="6" w:type="dxa"/>
                <w:trHeight w:val="435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536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CEF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1236E7" w14:textId="77777777" w:rsidR="00FA747E" w:rsidRPr="00441236" w:rsidRDefault="00FA747E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D0F922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F2768D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BAE79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53B364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6093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CC053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1B0A37" w14:textId="65062DBC" w:rsidR="00FA747E" w:rsidRPr="00441236" w:rsidRDefault="00797DB4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8 539 025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4175" w:type="dxa"/>
        <w:jc w:val="center"/>
        <w:tblLook w:val="04A0" w:firstRow="1" w:lastRow="0" w:firstColumn="1" w:lastColumn="0" w:noHBand="0" w:noVBand="1"/>
      </w:tblPr>
      <w:tblGrid>
        <w:gridCol w:w="960"/>
        <w:gridCol w:w="3720"/>
        <w:gridCol w:w="960"/>
        <w:gridCol w:w="8535"/>
      </w:tblGrid>
      <w:tr w:rsidR="00441236" w:rsidRPr="00894515" w14:paraId="0B18204D" w14:textId="77777777" w:rsidTr="00441236">
        <w:trPr>
          <w:trHeight w:val="7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D85B9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E3E6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EC654F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75F83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441236" w:rsidRPr="00894515" w14:paraId="796121CA" w14:textId="77777777" w:rsidTr="0044123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BD94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A5DB0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9294A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1DB9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FA747E" w:rsidRPr="00894515" w14:paraId="091FB668" w14:textId="77777777" w:rsidTr="00A26888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3D5E" w14:textId="16B1DAF9" w:rsidR="00FA747E" w:rsidRDefault="00797DB4" w:rsidP="00FA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FD8F" w14:textId="38A0D628" w:rsidR="00FA747E" w:rsidRPr="00894515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62EA" w14:textId="0D448344" w:rsidR="00FA747E" w:rsidRPr="001A585E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908A" w14:textId="402A3F86" w:rsidR="00FA747E" w:rsidRPr="00894515" w:rsidRDefault="00FA747E" w:rsidP="00FA747E">
            <w:pPr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составе: Шприц 200 мл-2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, Трубка Т-образная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соедиительная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низкого давления 60, Трубка основная, И</w:t>
            </w:r>
            <w:r w:rsidR="00797DB4">
              <w:rPr>
                <w:color w:val="000000"/>
                <w:sz w:val="18"/>
                <w:szCs w:val="18"/>
              </w:rPr>
              <w:t>г</w:t>
            </w:r>
            <w:r w:rsidRPr="001A585E">
              <w:rPr>
                <w:color w:val="000000"/>
                <w:sz w:val="18"/>
                <w:szCs w:val="18"/>
              </w:rPr>
              <w:t>ла пластиковая – 2шт.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441"/>
            <w:bookmarkEnd w:id="13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4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5" w:name="z1538"/>
            <w:bookmarkEnd w:id="15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6" w:name="z1539"/>
            <w:bookmarkEnd w:id="16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4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DEB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A585E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473B3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41236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34EFB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97DB4"/>
    <w:rsid w:val="007A0D86"/>
    <w:rsid w:val="007A3636"/>
    <w:rsid w:val="007B3B5B"/>
    <w:rsid w:val="007B7CCD"/>
    <w:rsid w:val="007C2C4D"/>
    <w:rsid w:val="007D20FF"/>
    <w:rsid w:val="007E78E5"/>
    <w:rsid w:val="007F54A7"/>
    <w:rsid w:val="0080641E"/>
    <w:rsid w:val="00812411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E6F57"/>
    <w:rsid w:val="00CF2C46"/>
    <w:rsid w:val="00CF79ED"/>
    <w:rsid w:val="00D02464"/>
    <w:rsid w:val="00D04B6F"/>
    <w:rsid w:val="00D12603"/>
    <w:rsid w:val="00D138E7"/>
    <w:rsid w:val="00D20415"/>
    <w:rsid w:val="00D304DE"/>
    <w:rsid w:val="00D3214B"/>
    <w:rsid w:val="00D33BE7"/>
    <w:rsid w:val="00D36B6E"/>
    <w:rsid w:val="00D4214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A747E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31</Pages>
  <Words>11047</Words>
  <Characters>62974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252</cp:revision>
  <cp:lastPrinted>2024-02-13T04:17:00Z</cp:lastPrinted>
  <dcterms:created xsi:type="dcterms:W3CDTF">2020-01-09T04:48:00Z</dcterms:created>
  <dcterms:modified xsi:type="dcterms:W3CDTF">2024-02-13T04:41:00Z</dcterms:modified>
</cp:coreProperties>
</file>