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59DCC8F1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516206">
        <w:rPr>
          <w:rFonts w:ascii="Times New Roman" w:hAnsi="Times New Roman" w:cs="Times New Roman"/>
          <w:b/>
          <w:lang w:val="kk-KZ"/>
        </w:rPr>
        <w:t>16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35D7B8A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110021F1" w:rsidR="006E7ABC" w:rsidRPr="00CD0CEC" w:rsidRDefault="00357A34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26293750</w:t>
            </w:r>
            <w:r w:rsidR="0062722E" w:rsidRPr="009E1E2C">
              <w:rPr>
                <w:rFonts w:ascii="Times New Roman" w:hAnsi="Times New Roman" w:cs="Times New Roman"/>
              </w:rPr>
              <w:t xml:space="preserve"> </w:t>
            </w:r>
            <w:r w:rsidRPr="00357A34">
              <w:rPr>
                <w:rFonts w:ascii="Times New Roman" w:hAnsi="Times New Roman" w:cs="Times New Roman"/>
              </w:rPr>
              <w:t>(двадцать шесть миллионов двести девяносто три тысячи семьсот пятьдесят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319D3A67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2078B567" w:rsidR="006E7ABC" w:rsidRPr="00913755" w:rsidRDefault="00413F82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8743C0"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57AE3720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13F8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02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413F8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02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4D8943EF" w:rsidR="006E7ABC" w:rsidRPr="00913755" w:rsidRDefault="00045C86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  <w:r w:rsidR="00413F82">
              <w:rPr>
                <w:rFonts w:ascii="Times New Roman" w:hAnsi="Times New Roman" w:cs="Times New Roman"/>
                <w:lang w:val="kk-KZ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 xml:space="preserve"> февраля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496" w:type="dxa"/>
        <w:jc w:val="center"/>
        <w:tblLook w:val="04A0" w:firstRow="1" w:lastRow="0" w:firstColumn="1" w:lastColumn="0" w:noHBand="0" w:noVBand="1"/>
      </w:tblPr>
      <w:tblGrid>
        <w:gridCol w:w="960"/>
        <w:gridCol w:w="3286"/>
        <w:gridCol w:w="4958"/>
        <w:gridCol w:w="1101"/>
        <w:gridCol w:w="1067"/>
        <w:gridCol w:w="1919"/>
        <w:gridCol w:w="1205"/>
      </w:tblGrid>
      <w:tr w:rsidR="008743C0" w:rsidRPr="0011062E" w14:paraId="0779F2A4" w14:textId="77777777" w:rsidTr="006E5D2C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516206" w:rsidRPr="0011062E" w14:paraId="5D51EDFB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E2DFB" w14:textId="712F56CD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DD0F" w14:textId="6D619630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716D" w14:textId="074B5CAF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Перчатки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стерильные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неопудренные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№6,5 - 2 пары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Перчатки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стерильные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неопудренные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№7,5 - 5 пар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Перчатки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стерильные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неопудренные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№8. – 1 пара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Скальпель №11 – 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акрилонитрилбутадиенстирол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Лезвие изготовлено из нержавеющей стали или углеродистой. Пластиковый кожух изготовлен из полиэтилена низкой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плотности  –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Скальпель одноразовый с лезвием № 15 -состоит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акрилонитрилбутадиенстирол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Лезвие изготовлено из нержавеющей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или углеродистой стали. Пластиковый кожух изготовлен из полиэтилена низкой плотности - 1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Скальпель одноразовый с лезвием № 20 -состоит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акрилонитрилбутадиенстирол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Лезвие изготовлено из нержавеющей или углеродистой стали. Пластиковый кожух изготовлен из полиэтилена низкой плотности - 1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Чаша 250 мл градуированная, изготовленная из полипропилена, синего цвета, не содержит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фталат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латекс и ПВХ - 1 –шт.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Чаша 500 мл градуированная, изготовленная из полипропилена, синего цвета, не содержит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фталат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латекс и ПВХ - 1 –шт.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Лоток почкообразный 700 мл - синего цвета почкообразной формы, имеет внутреннюю шкалу 700 мл - 1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Органайзер инструментов - для сбора инструментария во время операций - 1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Пластырь 10×35 см – представляет собой нетканую эластичную основу с нанесенным гипоаллергенным водоотталкивающим клеем и впитывающей прокладкой. Прокладка снабжена не прилипающим к ране слоем, воздухопроницаемая; не оставляет следов клея –1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12. Очиститель наконечника коагулятора - размер очистителя размером 5×5 см квадратной формы. Покрыт очиститель шлифовальной шкуркой, для очищения наконечника ручки-коагулятора -1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13. Ручка-держатель - электрохирургическая ручка-коагулятор одноразового применения с переключателем для пальцев режимов коагуляции и сечения. Общая длина-320 см с проводом. Устройство синего цвета. Изготовлена из высококачественного прочного пластика,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без латекса.-1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14. Шприц 20 мл - шприц объемом 20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мл.с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наконечником тип крепления иглы к цилиндру шприца, при котором игла надевается на шприц-2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15. Шприц 50 мл - шприц объемом 50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мл.с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наконечником тип крепления иглы к цилиндру шприца, при котором игла надевается на шприц - 2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16. Катетер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Янкауэра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отсос с шарикообразным  наконечником, не вентилируемый, одноразовый  -1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17. Аспирационная трубка представляет собой соединительную трубку для соединения с наконечником катетера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Янкауэра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Изготовлена из плотного, ребристого поливинилхлорида, без риска скручивания и перегибания, длиной 300 см. - 1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18. Катетер дренажный угловой - катетер изготовлен из медицинского ПВХ. Размер: 32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Открытый проксимальный конец катетера и боковые отверстия обеспечивают надежность дренирования плевральной полости.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полоска, маркировка по длине катетера на расстоянии 5, 10, 15, 20 см от дистального конца. Угловой катетер изогнут под углом 90° – 1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19. Катетер дренажный прямой - катетер изготовлен из медицинского ПВХ. Размер: 32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Открытый проксимальный конец катетера и боковые отверстия обеспечивают надежность дренирования плевральной полости.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полоска, маркировка по длине катетера на расстоянии 5, 10, 15, 20 см от дистального конца.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20. Аортальный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выкусыватель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одноразовый стерильный. Пластиковый корпус с подвижной встроенной металлической частью, позволяющий делать ровное отверстие в стенке сосуда диаметром 4 мм.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21. Операционная лента - Операционная пленка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фиксатор для операционного поля, сделан из нетканой клейкой ленты, не содержит латекс. Клейкая сторона имеет 2 пальцевых прижатия для лучшего положения 3х15 см. Лента устойчива к жидкостям и к спирту - 2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22. Халат хирургический XL длиной 140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см,  евростандарт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 усиленным передом и рукавами, с мягкой трикотажной манжетой. Изготовлен из нескольких типов материалов: 1) из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68 плотности 2) усиленные части (рукава и перед) из  двухслойного, с хорошей 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впитываемостью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обработанного, устойчивого к отслаиванию, безворсового, гипоаллергенного нетканого материала 95 плотности, обладающего максимальным сопротивлением проникновению микроорганизмов в сухом и влажном состоянии; 3) манжеты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рибаны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Длина от точки основания шеи до низа 140 (±1) см, ширина в развернутом виде (по низу) 166 (±1) см, длина рукава от точки основания шеи до низа рукава 82,1 (±1) см, армированная часть рукава 40 см,  ширина армированной груди 50 см. Удобный, «дышащий», водоотталкивающий, на завязках сзади. Обеспечивает максимальный комфорт при проведении стандартных и длительных операций за счет специального раскроя, не стесняющего движений во время проведения манипуляций. Халат сложен для асептического надевания без дополнительной помощи, с наличием фиксаторов завязок, предотвращающих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расстерилизацию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упрощающих завязывание. Специальная система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четырех завязок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рукава. - 2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23. Халат хирургический - халат Евростандарт размером ХXL длиной 150 см с усиленным передом и рукавами. Изготовлен из нескольких типов материалов: 1)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плотностью 68 г/м2.2) усиленные части (рукава и перед) из  многослойного, с хорошей 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впитываемостью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обработанного, устойчивого к отслаиванию, безворсового, гипоаллергенного нетканого материала, обладающего максимальным сопротивлением проникновению микроорганизмов в сухом и влажном состоянии; 3) трикотажные манжеты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рибаны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-полотна. Длина от точки основания шеи до низа 150 см, ширина в развернутом виде (по низу) 196 см, длина рукава от точки основания шеи до низа рукава 91,4 см, армированная часть рукава длиной 40 см, ширина армированной груди 50 см, длина 50-60 см.  Удобный, «дышащий», водоотталкивающий, на четырех завязках. Обеспечивает максимальный комфорт при проведении стандартных и длительных операций за счет специального раскроя, не стесняющего движений во время проведения манипуляций. Халат сложен для асептического надевания без дополнительной помощи, с наличием фиксаторов завязок, предотвращающих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расстерилизацию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упрощающих завязывание. Специальная система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четырех завязок (поясов)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рукава» - 3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24. Салфетка 16×24 см – представляет собой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полотенце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изготовленное из безворсового материала (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спанлейс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плотностью 60 г/м2), имеющего высокую впитывающую способность и прочность, сохраняющуюся во влажном состоянии. Обладает высокой гигиеничностью и безопасностью, гипоаллергенно-5 шт.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25. Простыня 137×180 см – представляет собой защитное покрытие на стол. Покрытие разделено на 3 части - 2 части из водоотталкивающего полиэтилена и 1 часть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водопоглощающего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Водопоглощающий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 - поглощает воду с коэффициентом поглощения более, чем 100%,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представлена длиной 180см и 60-80 см в ширину,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термоприпаена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полиэтиленовым сторонам, которые являются водоотталкивающими - 1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26. Простыня 150×250 см – представляет собой защитное покрытие на стол. Покрытие разделено на 3 части - 2 части из водоотталкивающего полиэтилена и 1 часть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водопоглощающего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материала.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Водопоглощающий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материал - поглощает воду с коэффициентом поглощения более, чем 100%,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водопоглощающая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представлена длиной 250 см и 60-80 см в ширину,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термоприпаена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длиной 250 см и 60-80 см в ширину,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термоприпаена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полиэтиленовым сторонам, которые являются водоотталкивающими - 1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27. Простыня - простыня размер 100×100 см из двухслойного впитывающего нетканого материала плотностью 54 г/м2 c клейким краем.5 см - 5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28. Простыня кардиохирургическая 274×320 см,  одноразовая Т-образной формы, с «опцией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раскладных крыльев». Основа простыни изготовлена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двухслойного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 хорошей 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впитываемостью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обработанного, устойчивого к отслаиванию, без ворсового, гипоаллергенного нетканого материала 95 плотности, обладающего максимальным сопротивлением проникновению микроорганизмов в сухом и влажном состоянии. Операционная зона имеет дополнительную впитывающую вставку 215×100 см из трехслойного,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обработанного, устойчивого к отслаиванию, без ворсового, гипоаллергенного нетканого материала 104 плотности, обладающего максимальным сопротивлением проникновению микроорганизмов в сухом и влажном состоянии, с отверстием 32×39 см, с отверстием 56×96 см, с липким краем, с операционной пленкой на каждом отверстии, с двумя двухсекционными карманами 23х156 см трехслойного,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антистатически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обработанного, устойчивого к отслаиванию, без ворсового, гипоаллергенного нетканого материала 104 плотности, с липучкой, пришитыми под впитывающую вставку, от верхнего угла вставки, с двух сторон на уровне отверстии,  с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патронтажами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Нижняя часть простыни уложена рулончиком для удобного ее раскрывания. Имеются стикеры головной и ножной части. - 1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29. Мешок для сбора жидкости отходов 50×60 см, изготовлен из прозрачной полиэтиленовой пленки толщиной 70 мкм, с задней стороны на мешке имеется  липкий край размером 10×50 см с опцией пальцевых прижатий –1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30. Чехол для аспирации и диатермии 35×43 см, многофункциональный прозрачный чехол, изготовленный их прозрачной полиэтиленовой пленки толщиной 70 мкм, с липким краем размером 5 см.–1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31. Салфетки 10×10см - стерильная марля 10×10 см, 12 слоёв  - 20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32. Салфетки 30х30 см - хирургические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рентгенконтрастные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салфетки сделаны из 100% хлопкового волокна степень впитывания меньше чем 10% от плотности ткани. Размеры: 30х30 см салфетки сложены 8 раз для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чтобы создать 4-х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слойный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впитывающий продукт. В нем есть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полоска синего цвета, каждые 5 губок связаны вместе для легкого подсчета. – 20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33. Катетер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Фолея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двухходовой, силиконовый размером 14Fr –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34. Банка дренажная - трехсекционная для дренирования плевральной полости. Система предназначена как для пассивного (под действием силы тяжести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 и активного (с помощью вакуумных устройств) дренирования плевральной полости. Общий объем не более 2500 мл. Камера для сбора жидкости объемом 1600 мл. Большая площадь нижней поверхности – для устойчивого положения на полу. Прочный небьющийся корпус гарантированно защищает от повреждений с нарушением герметичности системы и случайного выплескивания жидкости. Прозрачные стенки, со шкалой объема с шагом 10 мл, цифровым обозначением с шагом 100 мл. Удлинительная линия  90 см.–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35. Мочеприемник - состоит из квадратного пакета мочеприемника/мешка для забора мочи, не содержащего латекс, объемом  2000 мл; Т-образного сливного клапана; порта для взятия проб мочи; встроенного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антирефлюксного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клапана с коническим коннектором и защитным колпачком; дренажной трубки длиной 100см; ремешка для крепления. Визуально можно определить, закрыт ли клапан. Дренажная трубка устойчива к перегибам. Встроенный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антирефлюксный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клапан с коническим коннектором предотвращает обратный заброс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мочи, даже если мешок/пакет перевернут снизу вверх. Цена деления измерительной шкалы – 100 мл - 1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36. Лоток - глубокий, сделан из полипропилена. Цвет голубой. Длина 22 см, ширина 27 см, высота 5 см с толщиной края в 4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мм.–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37. Клип-берет хирургический одноразовый, гофрированный, с двумя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защипами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вдоль окружности приварена двухрядная резинка. Изготовлен без использования ниток (только сварные швы) из полипропиленового нетканого материала спанбонд. В сложенном виде представляет собой полоску – 2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38. Маска трехслойная на резинках изготовлена из двух слоев нетканого полотна типа СС (спанбонд) и одного слоя нетканого материала, который содержит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мельтблаун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(фильтрующий элемент). Имеет гибкий носовой фиксатор в верхней части маски. По краям маски вставлены две круглые эластичные резинки для удобства фиксации на лице. Размер маски: 180х90 мм (± 5 мм) - 4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39. Салфетки 45х45 см - хирургические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рентгенконтрастные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салфетки сделаны из 100% хлопкового волокна степень впитывания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меньше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чем 10% от плотности ткани. Размеры: 45х45 см салфетки сложены 8 раз для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чтобы создать 4-х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слойный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впитывающий продукт. В нем есть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полоска синего цвета, каждые 5 губок связаны вместе для легкого подсчета. – 20 шт.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Стерильно. Метод стерилизации: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Этиленоксидом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2882" w14:textId="4AD87E67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C8C2" w14:textId="43733A4B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A9E6" w14:textId="5F870930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93DA" w14:textId="3EB3D1E8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7200000</w:t>
            </w:r>
          </w:p>
        </w:tc>
      </w:tr>
      <w:tr w:rsidR="00516206" w:rsidRPr="0011062E" w14:paraId="5D29EEFD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92F9" w14:textId="13887B04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53D8" w14:textId="46A4E8C5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Катетер центральный венозный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</w:t>
            </w:r>
            <w:proofErr w:type="gram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просветный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proofErr w:type="gram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полиуретановый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рентгеноконтрастный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инъекционными колпачками, размером: 8,5Fr; длиной: 15см; в комплекте с </w:t>
            </w: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принадлежностями для установки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34B5" w14:textId="77777777" w:rsidR="00516206" w:rsidRPr="00516206" w:rsidRDefault="00516206" w:rsidP="00516206">
            <w:pPr>
              <w:pStyle w:val="a6"/>
              <w:spacing w:line="276" w:lineRule="auto"/>
              <w:rPr>
                <w:color w:val="000000"/>
                <w:sz w:val="22"/>
                <w:szCs w:val="22"/>
              </w:rPr>
            </w:pPr>
            <w:r w:rsidRPr="00516206">
              <w:rPr>
                <w:color w:val="000000"/>
                <w:sz w:val="22"/>
                <w:szCs w:val="22"/>
              </w:rPr>
              <w:lastRenderedPageBreak/>
              <w:t xml:space="preserve">Наименование комплектующих: </w:t>
            </w:r>
          </w:p>
          <w:p w14:paraId="6A2BF126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Катетер центральный венозный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Harsoria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полиуретановый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рентгеноконтрастный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инъекционными колпачками, размером: 8.5 Fr(14G</w:t>
            </w:r>
            <w:bookmarkStart w:id="0" w:name="OLE_LINK4"/>
            <w:bookmarkStart w:id="1" w:name="OLE_LINK5"/>
            <w:bookmarkStart w:id="2" w:name="OLE_LINK6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a/18G</w:t>
            </w:r>
            <w:bookmarkEnd w:id="0"/>
            <w:bookmarkEnd w:id="1"/>
            <w:bookmarkEnd w:id="2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a/18Ga/16Ga); длиной: 15 см; диаметр 2.8 мм.</w:t>
            </w:r>
          </w:p>
          <w:p w14:paraId="32CF2023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 Проводник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нитиноловый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толкателем</w:t>
            </w:r>
          </w:p>
          <w:p w14:paraId="4F10B6AE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Скальпель 11''</w:t>
            </w:r>
          </w:p>
          <w:p w14:paraId="4F3D147E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 Сосудистый дилататор - 2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  <w:p w14:paraId="7547F319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Y-образная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интродьюсерная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игла </w:t>
            </w:r>
          </w:p>
          <w:p w14:paraId="6445F14D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Шприц 5 мл</w:t>
            </w:r>
          </w:p>
          <w:p w14:paraId="6A47147A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7. Зажим - 2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  <w:p w14:paraId="43E96FAD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Запорный кран</w:t>
            </w:r>
          </w:p>
          <w:p w14:paraId="6D6E1424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 Шовный материал "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Мерсилк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с хирургической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полуизогнутой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иглой</w:t>
            </w:r>
          </w:p>
          <w:p w14:paraId="3307902E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 Салфетка хирургическая</w:t>
            </w:r>
          </w:p>
          <w:p w14:paraId="44330C27" w14:textId="77777777" w:rsidR="00516206" w:rsidRPr="00516206" w:rsidRDefault="00516206" w:rsidP="00516206">
            <w:pPr>
              <w:pStyle w:val="a6"/>
              <w:spacing w:line="256" w:lineRule="auto"/>
              <w:rPr>
                <w:color w:val="000000"/>
                <w:sz w:val="22"/>
                <w:szCs w:val="22"/>
              </w:rPr>
            </w:pPr>
            <w:r w:rsidRPr="00516206">
              <w:rPr>
                <w:color w:val="000000"/>
                <w:sz w:val="22"/>
                <w:szCs w:val="22"/>
              </w:rPr>
              <w:t xml:space="preserve">11.Салфетка марлевая - 5 </w:t>
            </w:r>
            <w:proofErr w:type="spellStart"/>
            <w:r w:rsidRPr="00516206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516206">
              <w:rPr>
                <w:color w:val="000000"/>
                <w:sz w:val="22"/>
                <w:szCs w:val="22"/>
              </w:rPr>
              <w:t xml:space="preserve"> </w:t>
            </w:r>
          </w:p>
          <w:p w14:paraId="75660D08" w14:textId="77777777" w:rsidR="00516206" w:rsidRPr="00516206" w:rsidRDefault="00516206" w:rsidP="00516206">
            <w:pPr>
              <w:pStyle w:val="a6"/>
              <w:spacing w:line="256" w:lineRule="auto"/>
              <w:rPr>
                <w:color w:val="000000"/>
                <w:sz w:val="22"/>
                <w:szCs w:val="22"/>
              </w:rPr>
            </w:pPr>
            <w:r w:rsidRPr="00516206">
              <w:rPr>
                <w:color w:val="000000"/>
                <w:sz w:val="22"/>
                <w:szCs w:val="22"/>
              </w:rPr>
              <w:t>Техническая характеристика:</w:t>
            </w:r>
          </w:p>
          <w:p w14:paraId="670ED614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Катетер (4-просветный) изготовлен из гибкого полиуретана с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рентгеноконтрастной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полосой для легкой визуализации. Мягкий, </w:t>
            </w:r>
            <w:proofErr w:type="spell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атравматичный</w:t>
            </w:r>
            <w:proofErr w:type="spell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конический наконечник снижает вероятность травмы сосуда во время введения и обеспечивает легкое и плавное введение катетера.</w:t>
            </w:r>
          </w:p>
          <w:p w14:paraId="3F37A5F1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Несовместимые препараты могут вводиться одновременно через отдельные просветы. Размещается в яремную или подключичную вену.</w:t>
            </w:r>
          </w:p>
          <w:p w14:paraId="54E5DEDF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Скорость потока:</w:t>
            </w:r>
          </w:p>
          <w:p w14:paraId="11A4066D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Дистальная - 75-120 мл/мин. Медиальная*1 - 20-50 мл/мин. Медиальная*2 - 20-50  мл/мин.</w:t>
            </w:r>
          </w:p>
          <w:p w14:paraId="5C974F46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Проксимальная 65-105  мл/мин.</w:t>
            </w:r>
          </w:p>
          <w:p w14:paraId="33C91BCE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Проводник (прямой; J-образный):</w:t>
            </w:r>
          </w:p>
          <w:p w14:paraId="453C6C7A" w14:textId="77777777" w:rsidR="00516206" w:rsidRPr="00516206" w:rsidRDefault="00516206" w:rsidP="00516206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0.032” x 60см. </w:t>
            </w:r>
          </w:p>
          <w:p w14:paraId="3A1A5877" w14:textId="77777777" w:rsidR="00516206" w:rsidRPr="00516206" w:rsidRDefault="00516206" w:rsidP="00516206">
            <w:pPr>
              <w:pStyle w:val="a6"/>
              <w:spacing w:line="256" w:lineRule="auto"/>
              <w:rPr>
                <w:color w:val="000000"/>
                <w:sz w:val="22"/>
                <w:szCs w:val="22"/>
              </w:rPr>
            </w:pPr>
            <w:proofErr w:type="spellStart"/>
            <w:r w:rsidRPr="00516206">
              <w:rPr>
                <w:color w:val="000000"/>
                <w:sz w:val="22"/>
                <w:szCs w:val="22"/>
              </w:rPr>
              <w:t>Интродьюсерная</w:t>
            </w:r>
            <w:proofErr w:type="spellEnd"/>
            <w:r w:rsidRPr="00516206">
              <w:rPr>
                <w:color w:val="000000"/>
                <w:sz w:val="22"/>
                <w:szCs w:val="22"/>
              </w:rPr>
              <w:t xml:space="preserve"> игла: 18G; 67 мм.</w:t>
            </w:r>
          </w:p>
          <w:p w14:paraId="783A42D5" w14:textId="1FC0A666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Область применения, назначение: ЛПУ, Обеспечение долгосрочного сосудистого доступа с </w:t>
            </w:r>
            <w:proofErr w:type="gramStart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целью  долгосрочной</w:t>
            </w:r>
            <w:proofErr w:type="gramEnd"/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инфузионной терапии, парентерального питания, непрерывного или периодического контроля центрального венозного давления, инфузии  веществ с высокой осмолярностью и/или с раздражающим действием, инфузии и/или взятия крови у </w:t>
            </w:r>
            <w:r w:rsidRPr="005162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пациентов с  ограниченным периферическим венозным доступом  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DC83" w14:textId="74BD4BF0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8699" w14:textId="1AC89788" w:rsidR="00516206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82E9" w14:textId="342BC664" w:rsidR="00516206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EAA1" w14:textId="67657A35" w:rsidR="00516206" w:rsidRPr="0011062E" w:rsidRDefault="00516206" w:rsidP="00516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480600</w:t>
            </w:r>
          </w:p>
        </w:tc>
      </w:tr>
      <w:tr w:rsidR="00F13A21" w:rsidRPr="0011062E" w14:paraId="2516D423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00E3" w14:textId="3B0E245D" w:rsidR="00F13A21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D995" w14:textId="392F11E1" w:rsidR="00F13A21" w:rsidRPr="004D70EE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Проволока стальная </w:t>
            </w:r>
            <w:proofErr w:type="gram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хирургическая  М</w:t>
            </w:r>
            <w:proofErr w:type="gram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(5) 75 см игла обратно-режущая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C1027" w14:textId="02438991" w:rsidR="00F13A21" w:rsidRPr="004D70EE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</w:t>
            </w:r>
            <w:proofErr w:type="spell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стальная хирургическая стерильная, </w:t>
            </w:r>
            <w:proofErr w:type="spell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выполнена из хирургической стали.  Метрический размер 7, условный размер 5. Длина нити 75 см. Игла изготовлена из коррозионностойкого высокопрочного сплава, обработана силиконом, что способствует уменьшению трения между иглой и тканями и облегчает проведение иглы через ткани. Марка стали - 420. </w:t>
            </w:r>
            <w:proofErr w:type="gram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Игла  имеет</w:t>
            </w:r>
            <w:proofErr w:type="gram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конструкцию, увеличивающую надежность ее фиксации в иглодержателе  за счет насечек в месте захвата. Имеются насечки на внутренней и внешней области иглы. Игла обратно-режущая, усиленная, 1/</w:t>
            </w:r>
            <w:proofErr w:type="gram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окружности</w:t>
            </w:r>
            <w:proofErr w:type="gram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55 мм длиной. Диаметр тела иглы 1,5494 мм. Игла свободно вращается вокруг своей оси для удобства манипуляций.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</w:t>
            </w:r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острия.  Групповая упаковка (коробка) содержит 12 штук, герметична (полиэтилен), предохраняет содержимое от влаги и дублирует информацию с индивидуальной упаковки. Каждая коробка содержит </w:t>
            </w:r>
            <w:proofErr w:type="gramStart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инструкцию  по</w:t>
            </w:r>
            <w:proofErr w:type="gramEnd"/>
            <w:r w:rsidRPr="00F13A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медицинскому применению на русском языке.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9F02" w14:textId="5DD81894" w:rsidR="00F13A21" w:rsidRPr="0011062E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C65A" w14:textId="4F329677" w:rsidR="00F13A21" w:rsidRPr="0011062E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2E23" w14:textId="08E4619E" w:rsidR="00F13A21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941C" w14:textId="42336566" w:rsidR="00F13A21" w:rsidRPr="0011062E" w:rsidRDefault="00F13A21" w:rsidP="00F1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312000</w:t>
            </w:r>
          </w:p>
        </w:tc>
      </w:tr>
      <w:tr w:rsidR="006E5D2C" w:rsidRPr="0011062E" w14:paraId="700F3EC1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6D2F" w14:textId="7278CACE" w:rsidR="006E5D2C" w:rsidRPr="00962820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8315" w14:textId="14B84C33" w:rsidR="006E5D2C" w:rsidRPr="004D70E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5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Артериальные канюли в наборе и без, размером (</w:t>
            </w:r>
            <w:proofErr w:type="spellStart"/>
            <w:r w:rsidRPr="006E5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6E5D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): 18, 20, 22, 24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A2C2" w14:textId="146C1842" w:rsidR="006E5D2C" w:rsidRPr="004D70E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артериальные с тонкостенным наконечником, удлиненным, цельнолитым, устойчивым к перегибам корпусом и армированными стенками. Эта конструкция позволяет достичь более высокой скорости потока при минимальной разнице давления. Снабжены отметками глубины введения. Комплектуется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ретгенокотрастным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шовным кольцом для регулировки глубины введения и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интродюссером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дилатирующим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наконечником. Коннектор 3/8 (0,95 см) может быть с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люер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портом и без него. Длина 30,5 см. В упаковке – 10 шт. Размеры по заявке заказчика.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B60F" w14:textId="5EAAF801" w:rsidR="006E5D2C" w:rsidRPr="0011062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1F29" w14:textId="7322290D" w:rsidR="006E5D2C" w:rsidRPr="00962820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4D33" w14:textId="27430A7E" w:rsidR="006E5D2C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672E" w14:textId="602A0057" w:rsidR="006E5D2C" w:rsidRPr="0011062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1980000</w:t>
            </w:r>
          </w:p>
        </w:tc>
      </w:tr>
      <w:tr w:rsidR="006E5D2C" w:rsidRPr="0011062E" w14:paraId="2DE6C848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74FA" w14:textId="465BE2B2" w:rsidR="006E5D2C" w:rsidRPr="00962820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94D" w14:textId="0833287B" w:rsidR="006E5D2C" w:rsidRPr="0011062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Канюли венозные, в наборе и без, размером (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): 23, 29, 34/38, 34/48, 34/51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E9D4" w14:textId="1E8D391E" w:rsidR="006E5D2C" w:rsidRPr="0011062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имеют спиральный наконечник и большую щелевую предсердную "корзинку" с овальным армированным корпусом.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конектором</w:t>
            </w:r>
            <w:proofErr w:type="spellEnd"/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1/2 (1.27 см). В упаковке – 10 шт. Размеры по заявке заказчика.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2F1A" w14:textId="2AD4F649" w:rsidR="006E5D2C" w:rsidRPr="0011062E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BE0D" w14:textId="01ECAA4B" w:rsidR="006E5D2C" w:rsidRPr="00E459A9" w:rsidRDefault="00E459A9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EF1C" w14:textId="5F2C677D" w:rsidR="006E5D2C" w:rsidRPr="00962820" w:rsidRDefault="006E5D2C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DEB5" w14:textId="666B974A" w:rsidR="006E5D2C" w:rsidRPr="002442B1" w:rsidRDefault="002442B1" w:rsidP="006E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975000</w:t>
            </w:r>
          </w:p>
        </w:tc>
      </w:tr>
      <w:tr w:rsidR="002442B1" w:rsidRPr="0011062E" w14:paraId="0892CF50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109A" w14:textId="22727D82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D17E" w14:textId="6C75D402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Антеградные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канюли корня аорты и канюля для перфузии устьев коронарных артерий в наборе и без, размером (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4, 5, 7, 9, 10, 11, 12,14,15,17, 20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97D4" w14:textId="7F534C94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имеют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рентгеноконтрастный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наконечник, соединенный с прозрачным корпусом, с отдельной дренажной линией. Дополнительные возможности при использовании данной канюли должны включать: мониторинг давления в корне аорты, дренирование левых отделов сердца. Все канюли должны быть снабжены стальной иглой-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интродюсером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Длина 14.0 см. Стандартный наконечник и стандартный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интродюсер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14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ga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(7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.). В упаковке – 20 шт.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7DAE" w14:textId="39ADD3B6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1A3" w14:textId="7621C2E3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0140" w14:textId="752570F2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250000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AF37" w14:textId="55150520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1000000</w:t>
            </w:r>
          </w:p>
        </w:tc>
      </w:tr>
      <w:tr w:rsidR="002442B1" w:rsidRPr="0011062E" w14:paraId="73DEE0CB" w14:textId="77777777" w:rsidTr="002442B1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C9738" w14:textId="1D45B8C0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EC14" w14:textId="5587D1EF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Одноступенчатая венозная канюля с угловым металлическим наконечником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7F99" w14:textId="0116F412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имеют устойчивый к перегибам армированный корпус, скошенный металлический наконечник с множественными отверстиями. Данная конструкция обеспечивает более высокие скорости потока при минимальной разнице давлений. Маркеры глубины введения позволяют добиться оптимального положения канюли. Длина 35,6 см. Размеры: 12 </w:t>
            </w: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(4,0 мм), 14 </w:t>
            </w: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(4,7 мм).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0399" w14:textId="7DCFCF6F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D786" w14:textId="2855D5FA" w:rsid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32CE" w14:textId="7FFEAD03" w:rsid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DDE1" w14:textId="66E1CE44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1 020 000</w:t>
            </w:r>
          </w:p>
        </w:tc>
      </w:tr>
      <w:tr w:rsidR="002442B1" w:rsidRPr="0011062E" w14:paraId="1B81C621" w14:textId="77777777" w:rsidTr="002442B1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B865A" w14:textId="7BF9FEBF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9D66" w14:textId="77777777" w:rsid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900232D" w14:textId="77777777" w:rsid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8EDE3CA" w14:textId="2A87060E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Одноступенчатая венозная канюля прямая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A5F4" w14:textId="689E0D76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имеют устойчивый к перегибам армированный корпус, конический наконечник с множественными отверстиями облегчает ее установку. Данная конструкция обеспечивает более высокие скорости потока при минимальной разнице давлений. Маркеры глубины введения позволяют добиться оптимального положения канюли. Длина 38.1 см. Для коннектора 3/8” (0.95 см). Размеры: 16 </w:t>
            </w: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40 </w:t>
            </w: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7F39" w14:textId="68403A15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71AB" w14:textId="03012A59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7D4B" w14:textId="5EC24F54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42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8DB8" w14:textId="7FB2ECD4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color w:val="000000"/>
              </w:rPr>
              <w:t>500 000</w:t>
            </w:r>
          </w:p>
        </w:tc>
      </w:tr>
      <w:tr w:rsidR="002442B1" w:rsidRPr="0011062E" w14:paraId="67F0D477" w14:textId="77777777" w:rsidTr="00446A1A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30992" w14:textId="0E3470F6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1E86" w14:textId="42B9B77C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Канюля венозная с армированным корпусом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D785" w14:textId="69C0EF94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Канюли имеют запатентованный спиральный наконечник и большую щелевую предсердную "корзинку" с овальным армированным корпусом.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конектором</w:t>
            </w:r>
            <w:proofErr w:type="spellEnd"/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1/2 (1.27 см)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ED2" w14:textId="29B3F14F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25ED" w14:textId="30E781EC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D24E" w14:textId="75C1609B" w:rsidR="002442B1" w:rsidRPr="00962820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195000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F90A" w14:textId="76E58462" w:rsidR="002442B1" w:rsidRP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585000</w:t>
            </w:r>
          </w:p>
        </w:tc>
      </w:tr>
      <w:tr w:rsidR="002442B1" w:rsidRPr="0011062E" w14:paraId="3DB14D99" w14:textId="77777777" w:rsidTr="0044426A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1CC7" w14:textId="55C94B04" w:rsidR="002442B1" w:rsidRPr="00084ADA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10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EC4A" w14:textId="23483DF8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30F">
              <w:rPr>
                <w:rFonts w:ascii="Times New Roman" w:hAnsi="Times New Roman" w:cs="Times New Roman"/>
                <w:color w:val="000000"/>
              </w:rPr>
              <w:t>Катетеры для дренирования левого желудочка.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9F3B" w14:textId="257E212C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30F">
              <w:rPr>
                <w:rFonts w:ascii="Times New Roman" w:hAnsi="Times New Roman" w:cs="Times New Roman"/>
                <w:color w:val="000000"/>
              </w:rPr>
              <w:t xml:space="preserve">Катетер для дренажа левого желудочка. Левожелудочковые дренажи используются для прямого и непрямого дренирования левого желудочка и имеют перфорированный наконечник.  Все дренажи поставляются с гладкостенным коннектором 1/4” (0.64 см). 33.0 см длина. Изогнутый 1.5” (3.8 см) наконечник и гладкостенный коннектор с люер-портом.13 </w:t>
            </w:r>
            <w:proofErr w:type="spellStart"/>
            <w:r w:rsidRPr="0000130F">
              <w:rPr>
                <w:rFonts w:ascii="Times New Roman" w:hAnsi="Times New Roman" w:cs="Times New Roman"/>
                <w:color w:val="000000"/>
              </w:rPr>
              <w:t>Fr</w:t>
            </w:r>
            <w:proofErr w:type="spellEnd"/>
            <w:r w:rsidRPr="0000130F">
              <w:rPr>
                <w:rFonts w:ascii="Times New Roman" w:hAnsi="Times New Roman" w:cs="Times New Roman"/>
                <w:color w:val="000000"/>
              </w:rPr>
              <w:t>. (4.3 мм</w:t>
            </w:r>
            <w:proofErr w:type="gramStart"/>
            <w:r w:rsidRPr="0000130F">
              <w:rPr>
                <w:rFonts w:ascii="Times New Roman" w:hAnsi="Times New Roman" w:cs="Times New Roman"/>
                <w:color w:val="000000"/>
              </w:rPr>
              <w:t>) ,</w:t>
            </w:r>
            <w:proofErr w:type="gramEnd"/>
            <w:r w:rsidRPr="0000130F">
              <w:rPr>
                <w:rFonts w:ascii="Times New Roman" w:hAnsi="Times New Roman" w:cs="Times New Roman"/>
                <w:color w:val="000000"/>
              </w:rPr>
              <w:t xml:space="preserve"> 16 </w:t>
            </w:r>
            <w:proofErr w:type="spellStart"/>
            <w:r w:rsidRPr="0000130F">
              <w:rPr>
                <w:rFonts w:ascii="Times New Roman" w:hAnsi="Times New Roman" w:cs="Times New Roman"/>
                <w:color w:val="000000"/>
              </w:rPr>
              <w:t>Fr</w:t>
            </w:r>
            <w:proofErr w:type="spellEnd"/>
            <w:r w:rsidRPr="0000130F">
              <w:rPr>
                <w:rFonts w:ascii="Times New Roman" w:hAnsi="Times New Roman" w:cs="Times New Roman"/>
                <w:color w:val="000000"/>
              </w:rPr>
              <w:t xml:space="preserve">. (5.3 мм), 18 </w:t>
            </w:r>
            <w:proofErr w:type="spellStart"/>
            <w:r w:rsidRPr="0000130F">
              <w:rPr>
                <w:rFonts w:ascii="Times New Roman" w:hAnsi="Times New Roman" w:cs="Times New Roman"/>
                <w:color w:val="000000"/>
              </w:rPr>
              <w:t>Fr</w:t>
            </w:r>
            <w:proofErr w:type="spellEnd"/>
            <w:r w:rsidRPr="0000130F">
              <w:rPr>
                <w:rFonts w:ascii="Times New Roman" w:hAnsi="Times New Roman" w:cs="Times New Roman"/>
                <w:color w:val="000000"/>
              </w:rPr>
              <w:t>. (6.0 мм), 20Fr (6,7 мм). Размеры по заявке заказчика</w:t>
            </w:r>
            <w:r>
              <w:rPr>
                <w:rFonts w:ascii="Times New Roman" w:hAnsi="Times New Roman" w:cs="Times New Roman"/>
                <w:color w:val="000000"/>
              </w:rPr>
              <w:t>. В упаковке 20 шт.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9E29" w14:textId="49D2AE70" w:rsidR="002442B1" w:rsidRPr="0011062E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4AF6" w14:textId="2B790D4F" w:rsidR="002442B1" w:rsidRPr="00ED67CB" w:rsidRDefault="00ED67CB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7E74" w14:textId="7D3456B0" w:rsidR="002442B1" w:rsidRDefault="002442B1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2619" w14:textId="7338F6A2" w:rsidR="002442B1" w:rsidRPr="00ED67CB" w:rsidRDefault="00ED67CB" w:rsidP="0024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900000</w:t>
            </w:r>
          </w:p>
        </w:tc>
      </w:tr>
      <w:tr w:rsidR="00ED67CB" w:rsidRPr="0011062E" w14:paraId="63433B46" w14:textId="77777777" w:rsidTr="00757601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59F9C" w14:textId="0E66E840" w:rsidR="00ED67CB" w:rsidRPr="00ED67CB" w:rsidRDefault="00ED67CB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7548" w14:textId="77777777" w:rsidR="00ED67CB" w:rsidRPr="00311272" w:rsidRDefault="00ED67CB" w:rsidP="00ED6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272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t>аутотрансфузионный</w:t>
            </w:r>
            <w:proofErr w:type="spellEnd"/>
          </w:p>
          <w:p w14:paraId="09E8FE1D" w14:textId="0C6C0CC9" w:rsidR="00ED67CB" w:rsidRPr="00ED67CB" w:rsidRDefault="00ED67CB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9069" w14:textId="77777777" w:rsidR="00ED67CB" w:rsidRPr="00311272" w:rsidRDefault="00ED67CB" w:rsidP="00ED6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272">
              <w:rPr>
                <w:rFonts w:ascii="Times New Roman" w:hAnsi="Times New Roman" w:cs="Times New Roman"/>
                <w:color w:val="000000"/>
              </w:rPr>
              <w:t xml:space="preserve">Включает резервуар, колокол и все необходимые принадлежности для сбора и обработки крови с операционного поля или из послеоперационных дренажей. </w:t>
            </w:r>
          </w:p>
          <w:p w14:paraId="19A3EA08" w14:textId="77777777" w:rsidR="00ED67CB" w:rsidRPr="00311272" w:rsidRDefault="00ED67CB" w:rsidP="00ED67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272">
              <w:rPr>
                <w:rFonts w:ascii="Times New Roman" w:hAnsi="Times New Roman" w:cs="Times New Roman"/>
                <w:color w:val="000000"/>
              </w:rPr>
              <w:t xml:space="preserve">Комплектация: резервуар для сбора крови, магистраль аспирации и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t>антикоагуляции</w:t>
            </w:r>
            <w:proofErr w:type="spellEnd"/>
            <w:r w:rsidRPr="00311272">
              <w:rPr>
                <w:rFonts w:ascii="Times New Roman" w:hAnsi="Times New Roman" w:cs="Times New Roman"/>
                <w:color w:val="000000"/>
              </w:rPr>
              <w:t>, магистраль вакуумного насоса, промывочный набор.</w:t>
            </w:r>
          </w:p>
          <w:p w14:paraId="4A695B3A" w14:textId="4055FF3C" w:rsidR="00ED67CB" w:rsidRPr="00ED67CB" w:rsidRDefault="00ED67CB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11272">
              <w:rPr>
                <w:rFonts w:ascii="Times New Roman" w:hAnsi="Times New Roman" w:cs="Times New Roman"/>
                <w:color w:val="000000"/>
              </w:rPr>
              <w:t xml:space="preserve">Резервуар: емкость 3,8 литра, многослойная система фильтрации, в которой предусмотрены: — внутренний пеноудаляющий полиуретановый слой (30 пор на дюйм), промежуточный двойной фильтр из тканого и нетканого материала (40 мкм), внешний экран (120 мкм). Возможность вращения резервуара на 360° в держателе. Прозрачный корпус позволяет осуществлять постоянный контроль собранной крови. Прозрачная плоская крышка позволяет следить за состоянием внутреннего фильтра. Три входных порта диаметром 1/4 дюйма для сбора крови в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t>интра</w:t>
            </w:r>
            <w:proofErr w:type="spellEnd"/>
            <w:r w:rsidRPr="00311272">
              <w:rPr>
                <w:rFonts w:ascii="Times New Roman" w:hAnsi="Times New Roman" w:cs="Times New Roman"/>
                <w:color w:val="000000"/>
              </w:rPr>
              <w:t xml:space="preserve">- и послеоперационном периоде: наклонены под углом 45°, что позволяет предотвратить закупорку частицами, которые образуются во время проведения операции. Один входной порт диаметром 3/8 дюйма для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t>интраоперационных</w:t>
            </w:r>
            <w:proofErr w:type="spellEnd"/>
            <w:r w:rsidRPr="00311272">
              <w:rPr>
                <w:rFonts w:ascii="Times New Roman" w:hAnsi="Times New Roman" w:cs="Times New Roman"/>
                <w:color w:val="000000"/>
              </w:rPr>
              <w:t xml:space="preserve"> процедур, который используется для подключения магистралей аспирации и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lastRenderedPageBreak/>
              <w:t>антикоагуляции</w:t>
            </w:r>
            <w:proofErr w:type="spellEnd"/>
            <w:r w:rsidRPr="00311272">
              <w:rPr>
                <w:rFonts w:ascii="Times New Roman" w:hAnsi="Times New Roman" w:cs="Times New Roman"/>
                <w:color w:val="000000"/>
              </w:rPr>
              <w:t xml:space="preserve"> диаметром 3/8 дюйма. Два порта с соединением типа </w:t>
            </w:r>
            <w:proofErr w:type="spellStart"/>
            <w:r w:rsidRPr="00311272">
              <w:rPr>
                <w:rFonts w:ascii="Times New Roman" w:hAnsi="Times New Roman" w:cs="Times New Roman"/>
                <w:color w:val="000000"/>
              </w:rPr>
              <w:t>Люэр</w:t>
            </w:r>
            <w:proofErr w:type="spellEnd"/>
            <w:r w:rsidRPr="00311272">
              <w:rPr>
                <w:rFonts w:ascii="Times New Roman" w:hAnsi="Times New Roman" w:cs="Times New Roman"/>
                <w:color w:val="000000"/>
              </w:rPr>
              <w:t xml:space="preserve"> (один с фильтром, другой — без) для перемещения крови или введения лекарственных препаратов. Клапан сброса давления. Предохранительный клапан для предотвращения перелива жидкости.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9EDB" w14:textId="2FA8034C" w:rsidR="00ED67CB" w:rsidRPr="00ED67CB" w:rsidRDefault="00FB2FFA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комплект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08C8" w14:textId="3EC35D68" w:rsidR="00ED67CB" w:rsidRPr="00FB2FFA" w:rsidRDefault="00FB2FFA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B699" w14:textId="2BB9DB4F" w:rsidR="00ED67CB" w:rsidRPr="00FB2FFA" w:rsidRDefault="00FB2FFA" w:rsidP="00ED6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132600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F288" w14:textId="2BEF229D" w:rsidR="00ED67CB" w:rsidRPr="00FB2FFA" w:rsidRDefault="00FB2FFA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663000</w:t>
            </w:r>
          </w:p>
        </w:tc>
      </w:tr>
      <w:tr w:rsidR="00F16476" w:rsidRPr="0011062E" w14:paraId="6F069C95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B909E" w14:textId="241A9B2C" w:rsidR="00F16476" w:rsidRPr="00084ADA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D6F0" w14:textId="29D68F43" w:rsidR="00F16476" w:rsidRPr="00E32AB8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Лигирующая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клипса, Титановая, размер Small-Wide,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Medium</w:t>
            </w:r>
            <w:proofErr w:type="spellEnd"/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915A" w14:textId="2742BF47" w:rsidR="00F16476" w:rsidRPr="00E32AB8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имеющихся в наличии </w:t>
            </w:r>
            <w:proofErr w:type="spellStart"/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клипаторов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.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Материал – титан. Форма сечения клипсы - в виде сердца, обеспечивающая дополнительную надежность крепления клипсы на сосуде. Форма внутренней поверхности- с углублением по всей длине, придающим устойчивость и противостояние соскальзыванию. Тип поперечного профиля - с поперечными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каналами,  сохраняющими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микроциркуляцию сосудистой стенки. Способ крепления в картридже - при помощи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микровыступов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верхней части картриджа. Очистка и промывка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клипатора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при помощи широкого раскрытия губок. Строгое сохранение размеров, допусков и свободного хода губок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клипатора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Цветовая маркировка картриджа и клип-аппликатора – красная либо синяя. Количество клипс в картридже – 6 штук. Количество картриджей в упаковке – 30. Small-Wide,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Medium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Размер по заявке заказчика.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ED34" w14:textId="46B0DAA3" w:rsidR="00F16476" w:rsidRPr="00084ADA" w:rsidRDefault="00F16476" w:rsidP="00F16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D6FB" w14:textId="04199371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3506" w14:textId="2E8D62CB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98000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F8DA" w14:textId="00404321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784000</w:t>
            </w:r>
          </w:p>
        </w:tc>
      </w:tr>
      <w:tr w:rsidR="00F16476" w:rsidRPr="0011062E" w14:paraId="4D728E50" w14:textId="77777777" w:rsidTr="006E5D2C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007E" w14:textId="66041374" w:rsidR="00F16476" w:rsidRPr="00084ADA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DE7" w14:textId="1F029FC9" w:rsidR="00F16476" w:rsidRPr="0011062E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>Датчик для измерения инвазивного кровяного давления, одноканальный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3F60" w14:textId="42B8A29C" w:rsidR="00F16476" w:rsidRPr="0011062E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51">
              <w:rPr>
                <w:rFonts w:ascii="Times New Roman" w:hAnsi="Times New Roman" w:cs="Times New Roman"/>
                <w:color w:val="000000"/>
              </w:rPr>
              <w:t xml:space="preserve">Датчик для измерения инвазивного кровяного давления, одноканальный. Диапазон рабочего давления: от -50 до +300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ммРтСт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>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Диапазон температуры: от 10 до 40 °С ;Температура хранения: -18С° до  +50 °С  ; Чувствительность:5.0V/V/ммРтСт±1%;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Нелинейность и гистерезис: ±1.5% от значения / ±1ммРтСт;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Сопротивление:350 Ом±10% (обычный многоразовый кабель монитора); Нулевое отклонение: менее, либо равно ±20ммРтСт;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Нулевая тепловая погрешность: менее, либо равно ±0.3ммРтСт/°С  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</w:r>
            <w:r w:rsidRPr="00911E51">
              <w:rPr>
                <w:rFonts w:ascii="Times New Roman" w:hAnsi="Times New Roman" w:cs="Times New Roman"/>
                <w:color w:val="000000"/>
              </w:rPr>
              <w:lastRenderedPageBreak/>
              <w:t xml:space="preserve">Погрешность вывода: ±1ммРтСт за 8 часов после 20-ти секундного разогрева; Погрешность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термо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-чувствительности: менее, либо равно ±0.1%/°С  ; Обычная частота:40Гц /стандартный комплект; более 200Гц /;только датчик; Воздействие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дефибриллятора:выдерживает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 5 кратный разряд мощностью 360 джоулей в пределах 5 минут доставленных в 50 Ом нагрузки; Ток утечки: менее 2Апри 120В/60Гц; Избыточность давления:от-400 до +6000 </w:t>
            </w:r>
            <w:proofErr w:type="spellStart"/>
            <w:r w:rsidRPr="00911E51">
              <w:rPr>
                <w:rFonts w:ascii="Times New Roman" w:hAnsi="Times New Roman" w:cs="Times New Roman"/>
                <w:color w:val="000000"/>
              </w:rPr>
              <w:t>ммРтСт</w:t>
            </w:r>
            <w:proofErr w:type="spellEnd"/>
            <w:r w:rsidRPr="00911E51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Ударопрочность: Может выдержать 3 падения с высоты 1 метра;</w:t>
            </w:r>
            <w:r w:rsidRPr="00911E51">
              <w:rPr>
                <w:rFonts w:ascii="Times New Roman" w:hAnsi="Times New Roman" w:cs="Times New Roman"/>
                <w:color w:val="000000"/>
              </w:rPr>
              <w:br/>
              <w:t>Чувствительность к свету: менее 1ммРтСтпри воздействии света яркостью3400°k В комплекте линии с трехходовым краником, колпачки (3шт). Срок службы: 168 часов.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1228" w14:textId="3C7FADF5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шт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3890" w14:textId="2F6DD75E" w:rsidR="00F16476" w:rsidRPr="00084ADA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139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B05A" w14:textId="72D2941E" w:rsidR="00F16476" w:rsidRPr="00D53E33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1D7A" w14:textId="4F8D5DD1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1390000</w:t>
            </w:r>
          </w:p>
        </w:tc>
      </w:tr>
      <w:tr w:rsidR="00ED67CB" w:rsidRPr="0011062E" w14:paraId="12C9C7C1" w14:textId="77777777" w:rsidTr="00B1630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A8ABE" w14:textId="3DF163E1" w:rsidR="00ED67CB" w:rsidRPr="00D53E33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58B0" w14:textId="57563BD7" w:rsidR="00ED67CB" w:rsidRPr="0011062E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Фетровая прокладка, мягкая, 102*102 мм.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4495" w14:textId="3C752230" w:rsidR="00ED67CB" w:rsidRPr="0011062E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Фетровая прокладка, изготовленная из политетрафторэтилена (ПТФЭ), мягкая, Размеры: 102*102 мм, толщина - 1.6 мм.  Биоинертна, благодаря свойствам ПТФЭ не подвергается резорбции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vivo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Предназначена для механической поддержки швов и равномерного распределения нагрузки на ткани.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Тромборезистентность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отсуствие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воспалительной реакции, минимальная тканевая реакция. Поставляются поштучно. Наличие сертификата CE 0373. Срок годности 5 лет. Поставляется в стерильной упаковке, стерилизация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этиленоксидом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F081" w14:textId="3CD0B26B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шт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5FAD" w14:textId="2D5999C0" w:rsidR="00ED67CB" w:rsidRPr="00B16302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4F62" w14:textId="269120C4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124000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2CC8" w14:textId="0D9E556E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744000</w:t>
            </w:r>
          </w:p>
        </w:tc>
      </w:tr>
      <w:tr w:rsidR="00ED67CB" w:rsidRPr="0011062E" w14:paraId="17A54ACA" w14:textId="77777777" w:rsidTr="00B1630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5D19" w14:textId="1E19358E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728E" w14:textId="7493BC6B" w:rsidR="00ED67CB" w:rsidRPr="00E32AB8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ПРОТЕЗ биологический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FCFC" w14:textId="77777777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Протезы биологические изготовлены из полотен перикарда крупного рогатого скота.  Размер 110х80 мм, 80х60 мм. Толщина биологического материала - 0.6 - 0.9 мм. Протезы биологические представляют собой мембрану белого цвета, химически стабилизированную (обработанную)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диглицидиловым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эфиром этиленгликоля (ДГЭЭ) с элементами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антикальциевой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обработки. Одна поверхность биопротеза является гладкой и блестящей, другая — матовой. Протезы биологические предназначены для замены, </w:t>
            </w: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пластики или реконструкции стенок камер сердца, сосудов (артерий и вен), сердечных перегородок, клапанов сердца, для закрытия или пластики дефектов перикарда, мягких и костных тканей, апоневрозов, сухожилий в различных областях человеческого организма, для профилактики образования спаечного процесса в серозных полостях. Обладают высокой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биосовместимостью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низким риском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обезыствления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4A4022DE" w14:textId="77777777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Биопротезы могут иметь перфорированные отверстия круглой или овальной формы. Нанесение перфораций в биопротезах, их диаметр, плотность, схема-рисунок производится </w:t>
            </w:r>
            <w:proofErr w:type="gram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заявки</w:t>
            </w:r>
            <w:proofErr w:type="gram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заказчика. Биопротезы не подлежат повторной стерилизации. </w:t>
            </w:r>
          </w:p>
          <w:p w14:paraId="76918FB1" w14:textId="198677E4" w:rsidR="00ED67CB" w:rsidRPr="0011062E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Биопротезы имплантируются пожизненно или временно в зависимости от цели и типа операции.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Методконсервации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- 5% раствор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эпокси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соединения. Протез биологический упакован в специальный контейнер с широкой горловиной, для удобства его изъятия в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условияхоперационной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Специальный контейнер заполнен стерильным, не пирогенным водным раствором диметилсульфоксида и гепарина. Наличие температурного индикатора в комплекте с контейнером исключает риск порчи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привоздействии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низких температур в процессе хранения и транспортировки. Биопротез обладает химической инертностью и </w:t>
            </w:r>
            <w:proofErr w:type="spellStart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тромборезистентностью</w:t>
            </w:r>
            <w:proofErr w:type="spellEnd"/>
            <w:r w:rsidRPr="00F164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Содержимое закрытого неповрежденного контейнера стерильно. Не требует дополнительной отмывки перед имплантацией. Индикаторы условий хранения нанесены на упаковку. Размер по заявке заказчика.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7EE6" w14:textId="4A6FA52A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шт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124D" w14:textId="4527A8E0" w:rsidR="00ED67CB" w:rsidRPr="00B16302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D829" w14:textId="77FD22A9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185200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5B9C" w14:textId="7C210274" w:rsidR="00ED67CB" w:rsidRPr="00F16476" w:rsidRDefault="00F16476" w:rsidP="00ED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926000</w:t>
            </w:r>
          </w:p>
        </w:tc>
      </w:tr>
      <w:tr w:rsidR="00F16476" w:rsidRPr="0011062E" w14:paraId="0CEFCD36" w14:textId="77777777" w:rsidTr="00B1630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5261" w14:textId="295179C3" w:rsidR="00F16476" w:rsidRPr="00B16302" w:rsidRDefault="00B16302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16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304C" w14:textId="59538F91" w:rsidR="00F16476" w:rsidRPr="0011062E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Артериальный катетер 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C460" w14:textId="7C4AB6CB" w:rsidR="00F16476" w:rsidRPr="0011062E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Артериальный катетер по </w:t>
            </w:r>
            <w:proofErr w:type="spellStart"/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>Сельдингеру</w:t>
            </w:r>
            <w:proofErr w:type="spellEnd"/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 катетера </w:t>
            </w:r>
            <w:proofErr w:type="spellStart"/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>рентгенконтрастный</w:t>
            </w:r>
            <w:proofErr w:type="spellEnd"/>
            <w:r w:rsidRPr="00975D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полиуретан диаметр  18, 20, 22, 24 G, длина 4,45; 5, 8, 12, 16  см; В наборе проводник, игла, прозрачная удлинительная линия с зажимом, колпачок. Размер по заявке Заказчика.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7EF3" w14:textId="1F380936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шт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1596" w14:textId="21A62BE9" w:rsidR="00F16476" w:rsidRPr="00B16302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BEC9" w14:textId="0CCA2BE4" w:rsidR="00F16476" w:rsidRPr="00F16476" w:rsidRDefault="00F16476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12000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EDB4" w14:textId="0D174E07" w:rsidR="00F16476" w:rsidRPr="00B16302" w:rsidRDefault="00B16302" w:rsidP="00F1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840000</w:t>
            </w:r>
          </w:p>
        </w:tc>
      </w:tr>
      <w:tr w:rsidR="00B16302" w:rsidRPr="0011062E" w14:paraId="015BE75F" w14:textId="77777777" w:rsidTr="00B1630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63CFC" w14:textId="348582F9" w:rsidR="00B16302" w:rsidRDefault="00B16302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7B12" w14:textId="03F84695" w:rsidR="00B16302" w:rsidRPr="00975D01" w:rsidRDefault="00B16302" w:rsidP="00B163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Электрод для временной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кардиостимуляции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M3 (2/0) 60см иглы: прямая режущая и колющая 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2E1D" w14:textId="66B872AE" w:rsidR="00B16302" w:rsidRPr="00975D01" w:rsidRDefault="00B16302" w:rsidP="00B163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Электрод для временной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кардиостимуляции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M3 (2/0), 60 см. Две иглы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коррозионностойкого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высокопрочного сплава: 1) прямая режущая, длиной 90 мм и 2) колющая игла, 1/2 окружности, длиной 26 мм. Колющая игла имеет конструкцию, увеличивающую надежность ее фиксации в иглодержателе за счет продольных насечек на корпусе. Марка стали - 420. Индивидуальная одинарная стерильная упаковка, защищающая содержимое от влаги. Упаковка (индивидуальная и групповая) содержит полную информацию о наименовании изделия, составе и параметрах для контроля за содержимым после извлечения из индивидуальной упаковки и размещения на стерильном столе. Групповая упаковка (коробка) содержит 12 индивидуальных упаковок, герметичная, предохраняющая содержимое от влаги. Каждая коробка содержит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инструкцию  по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медицинскому применению на русском языке.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00CD" w14:textId="4D147206" w:rsidR="00B16302" w:rsidRDefault="00B16302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9263" w14:textId="66D5D095" w:rsidR="00B16302" w:rsidRPr="00B16302" w:rsidRDefault="00B16302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B89A" w14:textId="1D0380DE" w:rsidR="00B16302" w:rsidRPr="00B16302" w:rsidRDefault="00B16302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8525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E795" w14:textId="0A954BF0" w:rsidR="00B16302" w:rsidRDefault="00B16302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733150</w:t>
            </w:r>
          </w:p>
        </w:tc>
      </w:tr>
      <w:tr w:rsidR="00357A34" w:rsidRPr="0011062E" w14:paraId="77965CA2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C0FB" w14:textId="0A157DBC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129C" w14:textId="4ACCE420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не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рассасывающееся  2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/0, игла 20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B1B4" w14:textId="31588CCC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из полиэтилентерефталата (полиэстер) с покрытием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полибутилата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что обеспечивает снижение трения при проведении через плотные ткани.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цвет  для улучшения визуализации в ране.  Метрический размер 3, условный размер 2/0. Длина нити 75 см. Две иглы. Иглы изготовлены из коррозионностойкого высокопрочного сплава с добавлением хрома, никеля, титана и молибдена, обработана силиконом, что способствует уменьшению трения между иглой и тканями. Материал иглы на 40%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 (на внутренней и внешней части иглы)  Иглы колющие, 1/2  окружности, 20 мм длиной. Диаметр тела иглы - 0,6604 мм.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вкладыше обеспечивает ее прямолинейность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острия.  Групповая упаковка (коробка) содержит 12 штук, герметична (полиэтилен), предохраняет содержимое от влаги и дублирует информацию с индивидуальной упаковки. Каждая коробка содержит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инструкцию  по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медицинскому применению на русском языке.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27BA" w14:textId="2D1E3A8A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5BC2C" w14:textId="554AAEDC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C744" w14:textId="4B4D8F5C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1950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491B" w14:textId="68D28167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195 000</w:t>
            </w:r>
          </w:p>
        </w:tc>
      </w:tr>
      <w:tr w:rsidR="00357A34" w:rsidRPr="0011062E" w14:paraId="2A4D6212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151D" w14:textId="314C8F73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AF55" w14:textId="42E76733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рассасывающийся атравматическая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шовная  Нить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(3/0)  90см  две иглы колющие, игла 26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39C1" w14:textId="426EF9DA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2, условный размер    3/0.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90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сплава, обработаны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силиконом,  что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способствует уменьшению трения между иглой и тканями, и облегчает проведение иглы через ткани. Марка стали - 4310.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(на внутренней и внешней части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иглы)  Иглы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колющие, 1/2  окружности, 26 мм длиной. Диаметр тела иглы 0,5588 мм.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6DD7" w14:textId="3673F05F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AAF1" w14:textId="36B0B5B3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D796" w14:textId="79B0CE0E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2380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6F08" w14:textId="6EBB2C06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476 000</w:t>
            </w:r>
          </w:p>
        </w:tc>
      </w:tr>
      <w:tr w:rsidR="00357A34" w:rsidRPr="0011062E" w14:paraId="5C6686A0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1AD41" w14:textId="273A87EE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74CC" w14:textId="59BEBB9E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рассасывающийся атравматическая шовная Нить (3/0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 90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 две иглы колющие игла 17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9C4F" w14:textId="05308873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2, условный размер    3/0.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90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 с добавлением хрома, никеля, титана и молибдена, обработана силиконом, что способствует уменьшению трения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между иглой и тканями. Материал иглы на 40% 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(на внутренней и внешней части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иглы)  Иглы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колющие, 1/2  окружности, 17 мм длиной. Диаметр тела иглы - 0,5588 мм.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движение.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799C" w14:textId="31EF5468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39B3" w14:textId="4AFACC4A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74C0" w14:textId="7120D36C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2900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B2BC" w14:textId="1D94D9B1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435 000</w:t>
            </w:r>
          </w:p>
        </w:tc>
      </w:tr>
      <w:tr w:rsidR="00357A34" w:rsidRPr="0011062E" w14:paraId="61A900C9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92D0A" w14:textId="66D61DD9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BAA4" w14:textId="4543D02A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рассасывающийся атравматическая шовная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Нить 4/0, колющая, 26 мм, 1/2 окружности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EF89" w14:textId="5595B9BE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1,5, условный размер 4/0.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90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 с добавлением хрома, никеля, титана и молибдена, обработана силиконом, что способствует уменьшению трения между иглой и тканями. Материал иглы на 40% 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(на внутренней и внешней части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иглы)  Иглы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колющие, 1/2  окружности, 26 мм длиной. Диаметр тела иглы - 0,5588 мм.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движение. 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18F5" w14:textId="6C0389BC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6610" w14:textId="3C4BA384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65C8" w14:textId="44DF7CC7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2890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67B3" w14:textId="72702A59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433 500</w:t>
            </w:r>
          </w:p>
        </w:tc>
      </w:tr>
      <w:tr w:rsidR="00357A34" w:rsidRPr="0011062E" w14:paraId="1DADDF4A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23E06" w14:textId="2C3DD619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3E86" w14:textId="5E013FDB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рассасывающийся атравматическая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шовная  Нить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75 см (6/0) две иглы колющие, игла 10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8C6C" w14:textId="70FB973D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0,7, условный размер   6/0. Длина нити 75 см. Две иглы. Иглы изготовлены из коррозионностойкого высокопрочного сплава, обработаны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силиконом,  что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способствует уменьшению трения между иглой и тканями, и облегчает проведение иглы через ткани. Марка стали - 4310. Тело иглы имеет квадратную форму для придания большей устойчивости в иглодержателе.  Иглы колющие, 1/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окружности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10 мм длиной. 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DABB" w14:textId="7EE5E176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2D6D" w14:textId="1AC5287D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5AE2" w14:textId="648668E0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4750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50FE" w14:textId="54158A5F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712 500</w:t>
            </w:r>
          </w:p>
        </w:tc>
      </w:tr>
      <w:tr w:rsidR="00357A34" w:rsidRPr="0011062E" w14:paraId="1F329896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388C8" w14:textId="6F5EC670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17A7" w14:textId="31E4BF62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рассасывающийся атравматическая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шовная  Нить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(7/0) 60 см две иглы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игла 8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5EF1" w14:textId="2F8EF249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0,5, условный размер 7/0.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60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сплава, обработана двойным слоем силикона, что способствует уменьшению трения между иглой и тканями. Материал иглы на 40% 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фиксации под различными углами в иглодержателе за счет  скругленных углов корпуса.  Иглы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колющие,  3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/8  окружности, 8 мм длиной. Диаметр тела иглы - 0,2032 мм. Колющий кончик игл имеет угол сужения 45 градусов для обеспечения большей прочности и остроты иглы.  Игла имеет увеличенный ресурс проколов за счет специальной обработки поверхности двойным слоем силикона, что способствует уменьшению трения между иглой и тканями, и облегчает проведение иглы через ткани.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02DE" w14:textId="19F1B2A3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C4C7" w14:textId="0CAC63D8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0719" w14:textId="230EC985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5900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06D9" w14:textId="596A4A08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885 000</w:t>
            </w:r>
          </w:p>
        </w:tc>
      </w:tr>
      <w:tr w:rsidR="00357A34" w:rsidRPr="0011062E" w14:paraId="65983D42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0321" w14:textId="009C24CB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BF62" w14:textId="58C66CBB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рассасывающийся атравматическая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шовная  Нить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(8/0) 60 см две иглы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игла 8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0DDC" w14:textId="4F463852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изотактического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кристаллического стереоизомера полипропилена - синтетического линейного полиолефина.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 цвет для улучшения визуализации в ране.  Метрический размер 0,4, условный размер 8/0.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60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сплава, обработана двойным слоем силикона, что способствует уменьшению трения между иглой и тканями. Материал иглы на 40% более устойчив к необратимой деформации (изгибу), чем иглы из обычной нержавеющей стали, что предотвращает необходимость замены иглы, улучшает контроль над иглой и уменьшает травмирование тканей. Металл иглы создан на базе специфической углеродной микроструктуры, характеризующейся максимальной прочностью, дополняемой явлением технологической "памяти металла". 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фиксации под различными углами в иглодержателе за счет  скругленных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углов корпуса.  Иглы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колющие,  3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/8  окружности, 8 мм длиной. Диаметр тела иглы - 0,1524 мм. Колющий кончик игл имеет угол сужения 45 градусов для обеспечения большей прочности и остроты иглы. Игла имеет увеличенный ресурс проколов за счет специальной обработки поверхности двойным слоем силикона, что способствует уменьшению трения между иглой и тканями, и облегчает проведение иглы через ткани.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 Специальная технология укладки нити на внутреннем вкладыше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831D" w14:textId="53EB7B54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F9B4" w14:textId="4321DF95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4621" w14:textId="38C98A71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8800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54BB" w14:textId="5DA707D8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704 000</w:t>
            </w:r>
          </w:p>
        </w:tc>
      </w:tr>
      <w:tr w:rsidR="00357A34" w:rsidRPr="0011062E" w14:paraId="05F37C12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0828" w14:textId="7E2F7BBF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D31B" w14:textId="56DE2CEF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этибонд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2,0(17) с прокладкой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DDA" w14:textId="246EA6AA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из полиэтилентерефталата (полиэстер) с покрытием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полибутилата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что обеспечивает снижение трения при проведении через плотные ткани.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цвет  для улучшения визуализации в ране.  Метрический размер 3, условный размер 2/0. Длина нити 75 см. Количество отрезков нити в стерильном внутреннем вкладыше - 10. Каждый отрезок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атравматически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соединен с двумя иглами. Иглы изготовлены из коррозионностойкого высокопрочного сплава, обработаны силиконом, что способствует уменьшению трения между иглой и тканями, и облегчает проведение иглы через ткани. Марка стали - 4310.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 Иглы колющие с режущим кончиком острия (1/32 от длины корпуса иглы) для облегчения проведения игл сквозь плотные фиброзные участки ткани, 1/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окружности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17 мм длиной. Диаметр тела иглы 0,6604 мм. Нить снабжена прокладками из PTFE прямоугольной формы размером 6х3х1,5 мм для предупреждения прорезывания нити при ее затягивании.  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Каждая нить уложена по овалу в индивидуальный карман. Иглы и прокладки зафиксированы в полимерном держателе для удобства извлечения и предотвращения запутывания нити. На обратной стороне внутреннего вкладыша имеются 2 клейких слоя, позволяющие зафиксировать его на стерильном столе.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2320" w14:textId="43FC996E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8825" w14:textId="4844275E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E7A7" w14:textId="357CF945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36100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E74E" w14:textId="6BE4DBBB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722 000</w:t>
            </w:r>
          </w:p>
        </w:tc>
      </w:tr>
      <w:tr w:rsidR="00357A34" w:rsidRPr="0011062E" w14:paraId="652989C9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9797" w14:textId="0CA964F0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74DE" w14:textId="7DF8C57C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2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,0(26) с прокладкой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299D" w14:textId="4BBD1863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из полиэтилентерефталата (полиэстер) с покрытием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полибутилата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что обеспечивает снижение трения при проведении через плотные ткани.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цвет  для улучшения визуализации в ране.  Метрический размер 3, условный размер 2/0. Длина нити 75 см. Количество отрезков нити в стерильном внутреннем вкладыше - 10 (5 окрашенных, 5 неокрашенных). Каждый отрезок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атравматически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соединен с двумя иглами. Иглы изготовлены из коррозионностойкого высокопрочного сплава, обработаны силиконом, что способствует уменьшению трения между иглой и тканями, и облегчает проведение иглы через ткани. Марка стали - 4310.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 Иглы колющие с режущим кончиком острия (1/32 от длины корпуса иглы) для облегчения проведения игл сквозь плотные фиброзные участки ткани, 1/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окружности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26 мм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длиной. Диаметр тела иглы 0,6604 мм. Нить снабжена прокладками из PTFE прямоугольной формы размером 6х3х1,5 мм для предупреждения прорезывания нити при ее затягивании.  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указанием метода стерилизации, указание об однократном применении. Каждая нить уложена по овалу в индивидуальный карман. Иглы и прокладки зафиксированы в полимерном держателе для удобства извлечения и предотвращения запутывания нити. На обратной стороне внутреннего вкладыша имеются 2 клейких слоя, позволяющие зафиксировать его на стерильном столе.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3204" w14:textId="305D6F00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B651" w14:textId="1CB19757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2CBA" w14:textId="6EFB1814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32000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933E" w14:textId="45CE9536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640 000</w:t>
            </w:r>
          </w:p>
        </w:tc>
      </w:tr>
      <w:tr w:rsidR="00357A34" w:rsidRPr="0011062E" w14:paraId="41283A38" w14:textId="77777777" w:rsidTr="00357A34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9582" w14:textId="524241A7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lastRenderedPageBreak/>
              <w:t>28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63C9" w14:textId="34814617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2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,0(26) без прокладки 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DB67" w14:textId="5E6AB34D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Нить стерильная хирургическая, синтетическая,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нерассасывающаяся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полифиламентная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изготовленная из полиэтилентерефталата (полиэстер) с покрытием из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полибутилата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что обеспечивает снижение трения при проведении через плотные ткани.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Нить  окрашена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контрастный цвет  для улучшения визуализации в ране.  Метрический размер 3, условный размер 2/0. Длина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нити  90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см. Две иглы. Иглы изготовлены из коррозионностойкого высокопрочного сплава, обработаны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силиконом,  что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способствует уменьшению трения между иглой и тканями, и облегчает проведение иглы через ткани. Марка стали - 4310. Иглы имеют конструкцию, увеличивающую надежность их фиксации в 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иглодержателе  за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счет насечек в месте захвата.  Иглы колющие, 1/</w:t>
            </w:r>
            <w:proofErr w:type="gram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окружности</w:t>
            </w:r>
            <w:proofErr w:type="gram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26 мм длиной. Диаметр тела иглы 0,6604 мм. Стерильный внутренний вкладыш с шовным материалом упакован в индивидуальную одинарную стерильную полимерно-бумажную упаковку, которая представляет собой пакет из медицинской бумаги и прозрачного полимера, обеспечивающую сохранение стерильности шовного материала и его функциональных свойств с учетом условий его применения, транспортирования, хранения и срока годности; защищающую содержимое от влаги; обеспечивающую доступ к внутреннему вкладышу в одно движение для минимизации временных затрат на манипуляции с нитью. Маркировка внутреннего вкладыша содержит наименование шовного материала, его состав, товарный знак производителя, наименование производителя, матричный код, каталожный номер, условный и метрический размер нити, цвет нити, длину нити, количество нитей; длины иглы, обозначение типа иглы, кривизны иглы, изображение иглы в натуральную величину, количество игл, указание о стерильности с </w:t>
            </w: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указанием метода стерилизации, указание об однократном применении.  Специальная технология овальной укладки нити на внутреннем пластиковом лотке обеспечивает ее прямолинейность после извлечения, минимизируя возникновение эффекта "памяти формы". Игла зафиксирована, не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задействуя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острие иглы на внутреннем лотке, что предотвращает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затупление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острия; в месте крепления к игле нить имеет изгиб с памятью формы, направленный в противоположную сторону от острия иглы, что обеспечивает лучшую визуализацию в операционном поле и препятствует запутыванию нити. Лоток снабжен отклоняющимся пластиковым лепестком, который позволяет позиционировать иглу на нужную глубину в </w:t>
            </w:r>
            <w:proofErr w:type="spellStart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браншах</w:t>
            </w:r>
            <w:proofErr w:type="spellEnd"/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иглодержателя в одно движение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DFE6" w14:textId="3E6D6DBC" w:rsidR="00357A34" w:rsidRPr="00CB4876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штук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6075" w14:textId="15590D29" w:rsidR="00357A34" w:rsidRPr="00B16302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6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438C" w14:textId="398CC073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2900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F992" w14:textId="213F1142" w:rsidR="00357A34" w:rsidRDefault="00357A34" w:rsidP="0035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color w:val="000000"/>
              </w:rPr>
              <w:t>58 000</w:t>
            </w:r>
          </w:p>
        </w:tc>
      </w:tr>
      <w:tr w:rsidR="00B16302" w:rsidRPr="0011062E" w14:paraId="6F608B1C" w14:textId="77777777" w:rsidTr="006E5D2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B16302" w:rsidRPr="0011062E" w:rsidRDefault="00B16302" w:rsidP="00B163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B16302" w:rsidRPr="0011062E" w:rsidRDefault="00B16302" w:rsidP="00B1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B16302" w:rsidRPr="0011062E" w:rsidRDefault="00B16302" w:rsidP="00B1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B16302" w:rsidRPr="0011062E" w:rsidRDefault="00B16302" w:rsidP="00B1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B16302" w:rsidRPr="0011062E" w:rsidRDefault="00B16302" w:rsidP="00B1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B16302" w:rsidRPr="0011062E" w:rsidRDefault="00B16302" w:rsidP="00B1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332067DA" w:rsidR="00B16302" w:rsidRPr="0011062E" w:rsidRDefault="00357A34" w:rsidP="00B1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26293750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45C86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442B1"/>
    <w:rsid w:val="0025126F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57A34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3F82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16206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B7BCB"/>
    <w:rsid w:val="006C15FB"/>
    <w:rsid w:val="006E5D2C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961"/>
    <w:rsid w:val="00857CAC"/>
    <w:rsid w:val="008640EB"/>
    <w:rsid w:val="00864966"/>
    <w:rsid w:val="008743C0"/>
    <w:rsid w:val="00897529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16302"/>
    <w:rsid w:val="00B20F89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4A9E"/>
    <w:rsid w:val="00E42FD2"/>
    <w:rsid w:val="00E43B9C"/>
    <w:rsid w:val="00E459A9"/>
    <w:rsid w:val="00E54437"/>
    <w:rsid w:val="00E73CA9"/>
    <w:rsid w:val="00EC04CF"/>
    <w:rsid w:val="00EC28BE"/>
    <w:rsid w:val="00EC7CAE"/>
    <w:rsid w:val="00ED2EC5"/>
    <w:rsid w:val="00ED38FF"/>
    <w:rsid w:val="00ED67CB"/>
    <w:rsid w:val="00EE78F4"/>
    <w:rsid w:val="00EF1DFE"/>
    <w:rsid w:val="00F04D41"/>
    <w:rsid w:val="00F07B54"/>
    <w:rsid w:val="00F07C38"/>
    <w:rsid w:val="00F13A21"/>
    <w:rsid w:val="00F145F9"/>
    <w:rsid w:val="00F16476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2FFA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35</Pages>
  <Words>8874</Words>
  <Characters>50588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38</cp:revision>
  <cp:lastPrinted>2024-01-25T02:57:00Z</cp:lastPrinted>
  <dcterms:created xsi:type="dcterms:W3CDTF">2023-04-14T05:22:00Z</dcterms:created>
  <dcterms:modified xsi:type="dcterms:W3CDTF">2024-01-25T02:57:00Z</dcterms:modified>
</cp:coreProperties>
</file>