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5D1264">
        <w:rPr>
          <w:b/>
          <w:bCs/>
          <w:kern w:val="32"/>
          <w:sz w:val="28"/>
          <w:szCs w:val="28"/>
          <w:lang w:val="kk-KZ"/>
        </w:rPr>
        <w:t>Э.Берикова</w:t>
      </w:r>
    </w:p>
    <w:p w:rsidR="008629D6" w:rsidRPr="00AD1FE1" w:rsidRDefault="008629D6" w:rsidP="008629D6">
      <w:pPr>
        <w:ind w:firstLine="567"/>
        <w:jc w:val="right"/>
        <w:rPr>
          <w:b/>
          <w:bCs/>
          <w:kern w:val="32"/>
          <w:sz w:val="28"/>
          <w:szCs w:val="28"/>
        </w:rPr>
      </w:pPr>
      <w:r w:rsidRPr="00AD1FE1">
        <w:rPr>
          <w:b/>
          <w:bCs/>
          <w:kern w:val="32"/>
          <w:sz w:val="28"/>
          <w:szCs w:val="28"/>
        </w:rPr>
        <w:t>№</w:t>
      </w:r>
      <w:r w:rsidR="005D1264">
        <w:rPr>
          <w:b/>
          <w:bCs/>
          <w:kern w:val="32"/>
          <w:sz w:val="28"/>
          <w:szCs w:val="28"/>
        </w:rPr>
        <w:t>132</w:t>
      </w:r>
      <w:r w:rsidR="00B34CD9">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5D1264">
        <w:rPr>
          <w:b/>
          <w:bCs/>
          <w:kern w:val="32"/>
          <w:sz w:val="28"/>
          <w:szCs w:val="28"/>
          <w:lang w:val="kk-KZ"/>
        </w:rPr>
        <w:t>14</w:t>
      </w:r>
      <w:r w:rsidRPr="00AD1FE1">
        <w:rPr>
          <w:b/>
          <w:bCs/>
          <w:kern w:val="32"/>
          <w:sz w:val="28"/>
          <w:szCs w:val="28"/>
        </w:rPr>
        <w:t xml:space="preserve">» </w:t>
      </w:r>
      <w:r w:rsidR="005D1264">
        <w:rPr>
          <w:b/>
          <w:bCs/>
          <w:kern w:val="32"/>
          <w:sz w:val="28"/>
          <w:szCs w:val="28"/>
          <w:lang w:val="kk-KZ"/>
        </w:rPr>
        <w:t>марта</w:t>
      </w:r>
      <w:r w:rsidRPr="00AD1FE1">
        <w:rPr>
          <w:b/>
          <w:bCs/>
          <w:kern w:val="32"/>
          <w:sz w:val="28"/>
          <w:szCs w:val="28"/>
        </w:rPr>
        <w:t xml:space="preserve"> 202</w:t>
      </w:r>
      <w:r w:rsidR="00B763FA">
        <w:rPr>
          <w:b/>
          <w:bCs/>
          <w:kern w:val="32"/>
          <w:sz w:val="28"/>
          <w:szCs w:val="28"/>
          <w:lang w:val="kk-KZ"/>
        </w:rPr>
        <w:t>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1C27C5" w:rsidRPr="0002286A">
        <w:rPr>
          <w:sz w:val="28"/>
          <w:szCs w:val="28"/>
        </w:rPr>
        <w:t xml:space="preserve">медицинских изделий </w:t>
      </w:r>
      <w:r w:rsidR="00B763FA" w:rsidRPr="0022510C">
        <w:rPr>
          <w:sz w:val="28"/>
          <w:szCs w:val="28"/>
        </w:rPr>
        <w:t>для отделения офтальмологии на 202</w:t>
      </w:r>
      <w:r w:rsidR="00B763FA">
        <w:rPr>
          <w:sz w:val="28"/>
          <w:szCs w:val="28"/>
          <w:lang w:val="kk-KZ"/>
        </w:rPr>
        <w:t>3</w:t>
      </w:r>
      <w:r w:rsidR="00B763FA" w:rsidRPr="0022510C">
        <w:rPr>
          <w:sz w:val="28"/>
          <w:szCs w:val="28"/>
        </w:rPr>
        <w:t xml:space="preserve"> год</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1C27C5" w:rsidRPr="0002286A">
        <w:rPr>
          <w:sz w:val="28"/>
          <w:szCs w:val="28"/>
        </w:rPr>
        <w:t xml:space="preserve">медицинских изделий </w:t>
      </w:r>
      <w:r w:rsidR="00B763FA" w:rsidRPr="0022510C">
        <w:rPr>
          <w:sz w:val="28"/>
          <w:szCs w:val="28"/>
        </w:rPr>
        <w:t>для отделения офтальмологии на 202</w:t>
      </w:r>
      <w:r w:rsidR="00B763FA">
        <w:rPr>
          <w:sz w:val="28"/>
          <w:szCs w:val="28"/>
          <w:lang w:val="kk-KZ"/>
        </w:rPr>
        <w:t>3</w:t>
      </w:r>
      <w:r w:rsidR="00B763FA" w:rsidRPr="0022510C">
        <w:rPr>
          <w:sz w:val="28"/>
          <w:szCs w:val="28"/>
        </w:rPr>
        <w:t xml:space="preserve">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w:t>
      </w:r>
      <w:r w:rsidRPr="006E7C64">
        <w:rPr>
          <w:sz w:val="28"/>
        </w:rPr>
        <w:lastRenderedPageBreak/>
        <w:t>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6E7C64">
        <w:rPr>
          <w:sz w:val="28"/>
        </w:rPr>
        <w:lastRenderedPageBreak/>
        <w:t xml:space="preserve">предшествующего году, для которого производится закуп, </w:t>
      </w:r>
      <w:bookmarkStart w:id="0" w:name="_GoBack"/>
      <w:r w:rsidRPr="006E7C64">
        <w:rPr>
          <w:sz w:val="28"/>
        </w:rPr>
        <w:t>январ</w:t>
      </w:r>
      <w:bookmarkEnd w:id="0"/>
      <w:r w:rsidRPr="006E7C64">
        <w:rPr>
          <w:sz w:val="28"/>
        </w:rPr>
        <w:t>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w:t>
      </w:r>
      <w:r w:rsidRPr="00AD1FE1">
        <w:rPr>
          <w:szCs w:val="24"/>
        </w:rPr>
        <w:lastRenderedPageBreak/>
        <w:t>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C27C5" w:rsidRPr="001C27C5">
        <w:rPr>
          <w:b/>
          <w:szCs w:val="24"/>
        </w:rPr>
        <w:t xml:space="preserve">медицинских изделий </w:t>
      </w:r>
      <w:r w:rsidR="00B763FA" w:rsidRPr="0022510C">
        <w:rPr>
          <w:szCs w:val="28"/>
        </w:rPr>
        <w:t>для отделения офтальмологии на 202</w:t>
      </w:r>
      <w:r w:rsidR="00B763FA">
        <w:rPr>
          <w:szCs w:val="28"/>
          <w:lang w:val="kk-KZ"/>
        </w:rPr>
        <w:t>3</w:t>
      </w:r>
      <w:r w:rsidR="00B763FA" w:rsidRPr="0022510C">
        <w:rPr>
          <w:szCs w:val="28"/>
        </w:rPr>
        <w:t xml:space="preserve"> год</w:t>
      </w:r>
      <w:r w:rsidRPr="00AD1FE1">
        <w:rPr>
          <w:b/>
          <w:szCs w:val="24"/>
        </w:rPr>
        <w:t>» и «Не вскрывать до 1</w:t>
      </w:r>
      <w:r w:rsidR="00D138E7">
        <w:rPr>
          <w:b/>
          <w:szCs w:val="24"/>
        </w:rPr>
        <w:t>1</w:t>
      </w:r>
      <w:r w:rsidRPr="00AD1FE1">
        <w:rPr>
          <w:b/>
          <w:szCs w:val="24"/>
        </w:rPr>
        <w:t xml:space="preserve">:00 часов </w:t>
      </w:r>
      <w:r w:rsidR="005D1264">
        <w:rPr>
          <w:b/>
          <w:szCs w:val="24"/>
          <w:lang w:val="kk-KZ"/>
        </w:rPr>
        <w:t>04 апреля</w:t>
      </w:r>
      <w:r w:rsidRPr="00D4214E">
        <w:rPr>
          <w:b/>
          <w:szCs w:val="24"/>
        </w:rPr>
        <w:t xml:space="preserve"> </w:t>
      </w:r>
      <w:r w:rsidRPr="00AD1FE1">
        <w:rPr>
          <w:b/>
          <w:szCs w:val="24"/>
        </w:rPr>
        <w:t>202</w:t>
      </w:r>
      <w:r w:rsidR="00B763FA">
        <w:rPr>
          <w:b/>
          <w:szCs w:val="24"/>
          <w:lang w:val="kk-KZ"/>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w:t>
      </w:r>
      <w:r w:rsidRPr="00AD1FE1">
        <w:rPr>
          <w:b/>
          <w:sz w:val="28"/>
          <w:szCs w:val="24"/>
          <w:lang w:val="kk-KZ"/>
        </w:rPr>
        <w:lastRenderedPageBreak/>
        <w:t xml:space="preserve">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lastRenderedPageBreak/>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5D1264">
        <w:rPr>
          <w:b/>
          <w:sz w:val="28"/>
          <w:szCs w:val="24"/>
        </w:rPr>
        <w:t>04 апреля</w:t>
      </w:r>
      <w:r w:rsidR="00B763FA" w:rsidRPr="00B763FA">
        <w:rPr>
          <w:b/>
          <w:sz w:val="28"/>
          <w:szCs w:val="24"/>
        </w:rPr>
        <w:t xml:space="preserve"> 2023 года</w:t>
      </w:r>
      <w:r w:rsidR="0094545E" w:rsidRPr="00AD1FE1">
        <w:rPr>
          <w:b/>
          <w:sz w:val="28"/>
          <w:szCs w:val="24"/>
        </w:rPr>
        <w:t>.</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5D1264">
        <w:rPr>
          <w:b/>
          <w:sz w:val="28"/>
          <w:szCs w:val="24"/>
        </w:rPr>
        <w:t>04 апреля</w:t>
      </w:r>
      <w:r w:rsidR="00B763FA" w:rsidRPr="00B763FA">
        <w:rPr>
          <w:b/>
          <w:sz w:val="28"/>
          <w:szCs w:val="24"/>
        </w:rPr>
        <w:t xml:space="preserve"> 2023 года</w:t>
      </w:r>
      <w:r w:rsidR="005555F2" w:rsidRPr="00AD1FE1">
        <w:rPr>
          <w:b/>
          <w:sz w:val="28"/>
          <w:szCs w:val="24"/>
        </w:rPr>
        <w:t>.</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5D1264">
        <w:rPr>
          <w:b/>
          <w:szCs w:val="24"/>
          <w:lang w:val="kk-KZ"/>
        </w:rPr>
        <w:t>04 апреля</w:t>
      </w:r>
      <w:r w:rsidR="00B763FA" w:rsidRPr="00D4214E">
        <w:rPr>
          <w:b/>
          <w:szCs w:val="24"/>
        </w:rPr>
        <w:t xml:space="preserve"> </w:t>
      </w:r>
      <w:r w:rsidR="00B763FA" w:rsidRPr="00AD1FE1">
        <w:rPr>
          <w:b/>
          <w:szCs w:val="24"/>
        </w:rPr>
        <w:t>202</w:t>
      </w:r>
      <w:r w:rsidR="00B763FA">
        <w:rPr>
          <w:b/>
          <w:szCs w:val="24"/>
          <w:lang w:val="kk-KZ"/>
        </w:rPr>
        <w:t>3</w:t>
      </w:r>
      <w:r w:rsidR="00B763FA" w:rsidRPr="00AD1FE1">
        <w:rPr>
          <w:b/>
          <w:szCs w:val="24"/>
        </w:rPr>
        <w:t xml:space="preserve"> года</w:t>
      </w:r>
      <w:r w:rsidRPr="00AD1FE1">
        <w:rPr>
          <w:b/>
          <w:szCs w:val="24"/>
        </w:rPr>
        <w:t>.</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 непредставления копии устава или выписки о составе учредителей, участников или выписки из реестра держателей акций, или копии </w:t>
      </w:r>
      <w:r w:rsidRPr="008D63B2">
        <w:rPr>
          <w:rStyle w:val="s0"/>
          <w:color w:val="000000" w:themeColor="text1"/>
          <w:sz w:val="28"/>
          <w:szCs w:val="24"/>
        </w:rPr>
        <w:lastRenderedPageBreak/>
        <w:t>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w:t>
      </w:r>
      <w:r w:rsidRPr="008D63B2">
        <w:rPr>
          <w:rStyle w:val="s0"/>
          <w:color w:val="000000" w:themeColor="text1"/>
          <w:sz w:val="28"/>
          <w:szCs w:val="24"/>
        </w:rPr>
        <w:lastRenderedPageBreak/>
        <w:t>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5E71B3">
        <w:rPr>
          <w:rStyle w:val="s0"/>
          <w:color w:val="000000" w:themeColor="text1"/>
          <w:sz w:val="28"/>
          <w:szCs w:val="24"/>
        </w:rPr>
        <w:lastRenderedPageBreak/>
        <w:t>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w:t>
      </w:r>
      <w:r w:rsidRPr="00AD1FE1">
        <w:rPr>
          <w:rStyle w:val="s0"/>
          <w:sz w:val="28"/>
          <w:szCs w:val="24"/>
          <w:lang w:eastAsia="ru-RU"/>
        </w:rPr>
        <w:lastRenderedPageBreak/>
        <w:t>(GMP)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lastRenderedPageBreak/>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016" w:type="dxa"/>
              <w:tblLayout w:type="fixed"/>
              <w:tblLook w:val="04A0" w:firstRow="1" w:lastRow="0" w:firstColumn="1" w:lastColumn="0" w:noHBand="0" w:noVBand="1"/>
            </w:tblPr>
            <w:tblGrid>
              <w:gridCol w:w="960"/>
              <w:gridCol w:w="960"/>
              <w:gridCol w:w="2890"/>
              <w:gridCol w:w="960"/>
              <w:gridCol w:w="960"/>
              <w:gridCol w:w="960"/>
              <w:gridCol w:w="1939"/>
              <w:gridCol w:w="2680"/>
              <w:gridCol w:w="960"/>
              <w:gridCol w:w="1747"/>
            </w:tblGrid>
            <w:tr w:rsidR="00C87D5D" w:rsidRPr="00C87D5D" w:rsidTr="00C87D5D">
              <w:trPr>
                <w:trHeight w:val="19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Наименование заказчика</w:t>
                  </w:r>
                </w:p>
              </w:tc>
              <w:tc>
                <w:tcPr>
                  <w:tcW w:w="289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Кол-во</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Условия поставки (в </w:t>
                  </w:r>
                  <w:proofErr w:type="spellStart"/>
                  <w:r w:rsidRPr="00C87D5D">
                    <w:rPr>
                      <w:b/>
                      <w:bCs/>
                      <w:color w:val="000000"/>
                      <w:sz w:val="18"/>
                      <w:szCs w:val="18"/>
                    </w:rPr>
                    <w:t>соответсвии</w:t>
                  </w:r>
                  <w:proofErr w:type="spellEnd"/>
                  <w:r w:rsidRPr="00C87D5D">
                    <w:rPr>
                      <w:b/>
                      <w:bCs/>
                      <w:color w:val="000000"/>
                      <w:sz w:val="18"/>
                      <w:szCs w:val="18"/>
                    </w:rPr>
                    <w:t xml:space="preserve"> с </w:t>
                  </w:r>
                  <w:proofErr w:type="spellStart"/>
                  <w:r w:rsidRPr="00C87D5D">
                    <w:rPr>
                      <w:b/>
                      <w:bCs/>
                      <w:color w:val="000000"/>
                      <w:sz w:val="18"/>
                      <w:szCs w:val="18"/>
                    </w:rPr>
                    <w:t>Инкотермс</w:t>
                  </w:r>
                  <w:proofErr w:type="spellEnd"/>
                  <w:r w:rsidRPr="00C87D5D">
                    <w:rPr>
                      <w:b/>
                      <w:bCs/>
                      <w:color w:val="000000"/>
                      <w:sz w:val="18"/>
                      <w:szCs w:val="18"/>
                    </w:rPr>
                    <w:t xml:space="preserve"> 2020)</w:t>
                  </w:r>
                </w:p>
              </w:tc>
              <w:tc>
                <w:tcPr>
                  <w:tcW w:w="1939"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Срок поставки товаров</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Место поставки товаров</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Размер авансового платежа, в% </w:t>
                  </w:r>
                </w:p>
              </w:tc>
              <w:tc>
                <w:tcPr>
                  <w:tcW w:w="1747"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Сумма, выделенная для закупа способом тендера (по лоту №), тенге </w:t>
                  </w:r>
                </w:p>
              </w:tc>
            </w:tr>
            <w:tr w:rsidR="00C87D5D" w:rsidRPr="00C87D5D" w:rsidTr="00C87D5D">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289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5</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6</w:t>
                  </w:r>
                </w:p>
              </w:tc>
              <w:tc>
                <w:tcPr>
                  <w:tcW w:w="1939"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7</w:t>
                  </w:r>
                </w:p>
              </w:tc>
              <w:tc>
                <w:tcPr>
                  <w:tcW w:w="268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8</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9</w:t>
                  </w:r>
                </w:p>
              </w:tc>
              <w:tc>
                <w:tcPr>
                  <w:tcW w:w="1747"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10</w:t>
                  </w:r>
                </w:p>
              </w:tc>
            </w:tr>
            <w:tr w:rsidR="00C87D5D" w:rsidRPr="00C87D5D" w:rsidTr="00C87D5D">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C87D5D" w:rsidRPr="00C87D5D" w:rsidRDefault="00C87D5D" w:rsidP="00C87D5D">
                  <w:pPr>
                    <w:jc w:val="center"/>
                    <w:rPr>
                      <w:color w:val="000000"/>
                      <w:sz w:val="18"/>
                      <w:szCs w:val="18"/>
                    </w:rPr>
                  </w:pPr>
                  <w:r w:rsidRPr="00C87D5D">
                    <w:rPr>
                      <w:color w:val="000000"/>
                      <w:sz w:val="18"/>
                      <w:szCs w:val="18"/>
                    </w:rPr>
                    <w:t>1</w:t>
                  </w:r>
                </w:p>
              </w:tc>
              <w:tc>
                <w:tcPr>
                  <w:tcW w:w="960" w:type="dxa"/>
                  <w:tcBorders>
                    <w:top w:val="nil"/>
                    <w:left w:val="single" w:sz="8" w:space="0" w:color="auto"/>
                    <w:bottom w:val="single" w:sz="8" w:space="0" w:color="000000"/>
                    <w:right w:val="single" w:sz="8" w:space="0" w:color="auto"/>
                  </w:tcBorders>
                  <w:shd w:val="clear" w:color="000000" w:fill="FFFFFF"/>
                  <w:vAlign w:val="center"/>
                  <w:hideMark/>
                </w:tcPr>
                <w:p w:rsidR="00C87D5D" w:rsidRPr="00C87D5D" w:rsidRDefault="00C87D5D" w:rsidP="00C87D5D">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hideMark/>
                </w:tcPr>
                <w:p w:rsidR="00C87D5D" w:rsidRPr="00C87D5D" w:rsidRDefault="005D1264" w:rsidP="005D1264">
                  <w:pPr>
                    <w:jc w:val="center"/>
                    <w:rPr>
                      <w:color w:val="000000"/>
                      <w:sz w:val="18"/>
                      <w:szCs w:val="18"/>
                    </w:rPr>
                  </w:pPr>
                  <w:r>
                    <w:t xml:space="preserve">Кассета из комплекта офтальмологическая микрохирургическая </w:t>
                  </w:r>
                  <w:proofErr w:type="spellStart"/>
                  <w:r>
                    <w:t>факоэмульсификационная</w:t>
                  </w:r>
                  <w:proofErr w:type="spellEnd"/>
                  <w:r>
                    <w:t xml:space="preserve"> система </w:t>
                  </w:r>
                  <w:proofErr w:type="spellStart"/>
                  <w:r>
                    <w:t>WhiteStar</w:t>
                  </w:r>
                  <w:proofErr w:type="spellEnd"/>
                  <w:r>
                    <w:t xml:space="preserve"> </w:t>
                  </w:r>
                  <w:proofErr w:type="spellStart"/>
                  <w:r>
                    <w:t>Signature</w:t>
                  </w:r>
                  <w:proofErr w:type="spellEnd"/>
                  <w:r>
                    <w:t xml:space="preserve"> </w:t>
                  </w:r>
                </w:p>
              </w:tc>
              <w:tc>
                <w:tcPr>
                  <w:tcW w:w="960" w:type="dxa"/>
                  <w:tcBorders>
                    <w:top w:val="nil"/>
                    <w:left w:val="nil"/>
                    <w:bottom w:val="single" w:sz="8" w:space="0" w:color="auto"/>
                    <w:right w:val="single" w:sz="8" w:space="0" w:color="auto"/>
                  </w:tcBorders>
                  <w:shd w:val="clear" w:color="000000" w:fill="FFFFFF"/>
                  <w:noWrap/>
                  <w:vAlign w:val="center"/>
                  <w:hideMark/>
                </w:tcPr>
                <w:p w:rsidR="00C87D5D" w:rsidRPr="00B763FA" w:rsidRDefault="00B763FA" w:rsidP="00C87D5D">
                  <w:pPr>
                    <w:jc w:val="center"/>
                    <w:rPr>
                      <w:color w:val="000000"/>
                      <w:sz w:val="18"/>
                      <w:szCs w:val="18"/>
                      <w:lang w:val="kk-KZ"/>
                    </w:rPr>
                  </w:pPr>
                  <w:r>
                    <w:rPr>
                      <w:color w:val="000000"/>
                      <w:sz w:val="18"/>
                      <w:szCs w:val="18"/>
                      <w:lang w:val="kk-KZ"/>
                    </w:rPr>
                    <w:t>шт</w:t>
                  </w:r>
                </w:p>
              </w:tc>
              <w:tc>
                <w:tcPr>
                  <w:tcW w:w="960" w:type="dxa"/>
                  <w:tcBorders>
                    <w:top w:val="nil"/>
                    <w:left w:val="nil"/>
                    <w:bottom w:val="single" w:sz="8" w:space="0" w:color="auto"/>
                    <w:right w:val="single" w:sz="8" w:space="0" w:color="auto"/>
                  </w:tcBorders>
                  <w:shd w:val="clear" w:color="000000" w:fill="FFFFFF"/>
                  <w:noWrap/>
                  <w:vAlign w:val="center"/>
                  <w:hideMark/>
                </w:tcPr>
                <w:p w:rsidR="00C87D5D" w:rsidRPr="00B763FA" w:rsidRDefault="005D1264" w:rsidP="00C87D5D">
                  <w:pPr>
                    <w:jc w:val="center"/>
                    <w:rPr>
                      <w:color w:val="000000"/>
                      <w:sz w:val="18"/>
                      <w:szCs w:val="18"/>
                      <w:lang w:val="kk-KZ"/>
                    </w:rPr>
                  </w:pPr>
                  <w:r>
                    <w:rPr>
                      <w:color w:val="000000"/>
                      <w:sz w:val="18"/>
                      <w:szCs w:val="18"/>
                      <w:lang w:val="kk-KZ"/>
                    </w:rPr>
                    <w:t>80</w:t>
                  </w:r>
                </w:p>
              </w:tc>
              <w:tc>
                <w:tcPr>
                  <w:tcW w:w="960" w:type="dxa"/>
                  <w:tcBorders>
                    <w:top w:val="nil"/>
                    <w:left w:val="nil"/>
                    <w:bottom w:val="single" w:sz="8" w:space="0" w:color="auto"/>
                    <w:right w:val="single" w:sz="8" w:space="0" w:color="auto"/>
                  </w:tcBorders>
                  <w:shd w:val="clear" w:color="000000" w:fill="FFFFFF"/>
                  <w:noWrap/>
                  <w:vAlign w:val="center"/>
                  <w:hideMark/>
                </w:tcPr>
                <w:p w:rsidR="00C87D5D" w:rsidRPr="00C87D5D" w:rsidRDefault="00C87D5D" w:rsidP="00C87D5D">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hideMark/>
                </w:tcPr>
                <w:p w:rsidR="00C87D5D" w:rsidRPr="00C87D5D" w:rsidRDefault="00C87D5D" w:rsidP="00B763FA">
                  <w:pPr>
                    <w:jc w:val="center"/>
                    <w:rPr>
                      <w:color w:val="000000"/>
                      <w:sz w:val="18"/>
                      <w:szCs w:val="18"/>
                    </w:rPr>
                  </w:pPr>
                  <w:r w:rsidRPr="00C87D5D">
                    <w:rPr>
                      <w:color w:val="000000"/>
                      <w:sz w:val="18"/>
                      <w:szCs w:val="18"/>
                    </w:rPr>
                    <w:t>в течение 3 рабочих дней с даты получения заявки от Заказчика до 31.12.202</w:t>
                  </w:r>
                  <w:r w:rsidR="00B763FA">
                    <w:rPr>
                      <w:color w:val="000000"/>
                      <w:sz w:val="18"/>
                      <w:szCs w:val="18"/>
                      <w:lang w:val="kk-KZ"/>
                    </w:rPr>
                    <w:t>3</w:t>
                  </w:r>
                  <w:r w:rsidRPr="00C87D5D">
                    <w:rPr>
                      <w:color w:val="000000"/>
                      <w:sz w:val="18"/>
                      <w:szCs w:val="18"/>
                    </w:rPr>
                    <w:t xml:space="preserve"> г.</w:t>
                  </w:r>
                </w:p>
              </w:tc>
              <w:tc>
                <w:tcPr>
                  <w:tcW w:w="2680" w:type="dxa"/>
                  <w:tcBorders>
                    <w:top w:val="nil"/>
                    <w:left w:val="nil"/>
                    <w:bottom w:val="single" w:sz="8" w:space="0" w:color="auto"/>
                    <w:right w:val="single" w:sz="8" w:space="0" w:color="auto"/>
                  </w:tcBorders>
                  <w:shd w:val="clear" w:color="000000" w:fill="FFFFFF"/>
                  <w:vAlign w:val="center"/>
                  <w:hideMark/>
                </w:tcPr>
                <w:p w:rsidR="00C87D5D" w:rsidRPr="00C87D5D" w:rsidRDefault="00C87D5D" w:rsidP="00C87D5D">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hideMark/>
                </w:tcPr>
                <w:p w:rsidR="00C87D5D" w:rsidRPr="00C87D5D" w:rsidRDefault="00C87D5D" w:rsidP="00C87D5D">
                  <w:pPr>
                    <w:jc w:val="center"/>
                    <w:rPr>
                      <w:color w:val="000000"/>
                      <w:sz w:val="18"/>
                      <w:szCs w:val="18"/>
                    </w:rPr>
                  </w:pPr>
                  <w:r w:rsidRPr="00C87D5D">
                    <w:rPr>
                      <w:color w:val="000000"/>
                      <w:sz w:val="18"/>
                      <w:szCs w:val="18"/>
                    </w:rPr>
                    <w:t>0</w:t>
                  </w:r>
                </w:p>
              </w:tc>
              <w:tc>
                <w:tcPr>
                  <w:tcW w:w="1747" w:type="dxa"/>
                  <w:tcBorders>
                    <w:top w:val="nil"/>
                    <w:left w:val="nil"/>
                    <w:bottom w:val="single" w:sz="8" w:space="0" w:color="auto"/>
                    <w:right w:val="single" w:sz="8" w:space="0" w:color="auto"/>
                  </w:tcBorders>
                  <w:shd w:val="clear" w:color="000000" w:fill="FFFFFF"/>
                  <w:noWrap/>
                  <w:vAlign w:val="center"/>
                  <w:hideMark/>
                </w:tcPr>
                <w:p w:rsidR="00C87D5D" w:rsidRPr="00B763FA" w:rsidRDefault="005D1264" w:rsidP="00C87D5D">
                  <w:pPr>
                    <w:jc w:val="center"/>
                    <w:rPr>
                      <w:color w:val="000000"/>
                      <w:sz w:val="18"/>
                      <w:szCs w:val="18"/>
                      <w:lang w:val="kk-KZ"/>
                    </w:rPr>
                  </w:pPr>
                  <w:r>
                    <w:rPr>
                      <w:color w:val="000000"/>
                      <w:sz w:val="18"/>
                      <w:szCs w:val="18"/>
                      <w:lang w:val="kk-KZ"/>
                    </w:rPr>
                    <w:t>6240000</w:t>
                  </w:r>
                </w:p>
              </w:tc>
            </w:tr>
            <w:tr w:rsidR="00C87D5D" w:rsidRPr="00C87D5D" w:rsidTr="00C87D5D">
              <w:trPr>
                <w:trHeight w:val="315"/>
              </w:trPr>
              <w:tc>
                <w:tcPr>
                  <w:tcW w:w="673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Всего по лотам:</w:t>
                  </w:r>
                </w:p>
              </w:tc>
              <w:tc>
                <w:tcPr>
                  <w:tcW w:w="96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1939"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268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rPr>
                      <w:b/>
                      <w:bCs/>
                      <w:color w:val="000000"/>
                      <w:sz w:val="18"/>
                      <w:szCs w:val="18"/>
                    </w:rPr>
                  </w:pPr>
                  <w:r w:rsidRPr="00C87D5D">
                    <w:rPr>
                      <w:b/>
                      <w:bCs/>
                      <w:color w:val="000000"/>
                      <w:sz w:val="18"/>
                      <w:szCs w:val="18"/>
                    </w:rPr>
                    <w:t> </w:t>
                  </w:r>
                </w:p>
              </w:tc>
              <w:tc>
                <w:tcPr>
                  <w:tcW w:w="960" w:type="dxa"/>
                  <w:tcBorders>
                    <w:top w:val="nil"/>
                    <w:left w:val="nil"/>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w:t>
                  </w:r>
                </w:p>
              </w:tc>
              <w:tc>
                <w:tcPr>
                  <w:tcW w:w="1747" w:type="dxa"/>
                  <w:tcBorders>
                    <w:top w:val="nil"/>
                    <w:left w:val="nil"/>
                    <w:bottom w:val="single" w:sz="8" w:space="0" w:color="auto"/>
                    <w:right w:val="single" w:sz="8" w:space="0" w:color="auto"/>
                  </w:tcBorders>
                  <w:shd w:val="clear" w:color="000000" w:fill="D9D9D9"/>
                  <w:noWrap/>
                  <w:vAlign w:val="center"/>
                  <w:hideMark/>
                </w:tcPr>
                <w:p w:rsidR="00C87D5D" w:rsidRPr="005D1264" w:rsidRDefault="005D1264" w:rsidP="00C027D8">
                  <w:pPr>
                    <w:jc w:val="center"/>
                    <w:rPr>
                      <w:b/>
                      <w:color w:val="000000"/>
                      <w:sz w:val="18"/>
                      <w:szCs w:val="18"/>
                    </w:rPr>
                  </w:pPr>
                  <w:r w:rsidRPr="005D1264">
                    <w:rPr>
                      <w:b/>
                      <w:color w:val="000000"/>
                      <w:sz w:val="18"/>
                      <w:szCs w:val="18"/>
                      <w:lang w:val="kk-KZ"/>
                    </w:rPr>
                    <w:t>6240000</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5D1264">
              <w:rPr>
                <w:b/>
                <w:bCs/>
                <w:sz w:val="22"/>
                <w:szCs w:val="22"/>
                <w:lang w:val="kk-KZ"/>
              </w:rPr>
              <w:t>Э.Берикова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2616" w:type="dxa"/>
        <w:tblInd w:w="959" w:type="dxa"/>
        <w:tblLook w:val="04A0" w:firstRow="1" w:lastRow="0" w:firstColumn="1" w:lastColumn="0" w:noHBand="0" w:noVBand="1"/>
      </w:tblPr>
      <w:tblGrid>
        <w:gridCol w:w="960"/>
        <w:gridCol w:w="4705"/>
        <w:gridCol w:w="973"/>
        <w:gridCol w:w="5978"/>
      </w:tblGrid>
      <w:tr w:rsidR="00C87D5D" w:rsidRPr="00C87D5D" w:rsidTr="00682F99">
        <w:trPr>
          <w:trHeight w:val="4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4705"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73"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5978" w:type="dxa"/>
            <w:tcBorders>
              <w:top w:val="single" w:sz="4" w:space="0" w:color="auto"/>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Техническое описание</w:t>
            </w:r>
          </w:p>
        </w:tc>
      </w:tr>
      <w:tr w:rsidR="00C87D5D" w:rsidRPr="00C87D5D" w:rsidTr="00682F99">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4705"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973"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5978" w:type="dxa"/>
            <w:tcBorders>
              <w:top w:val="nil"/>
              <w:left w:val="nil"/>
              <w:bottom w:val="single" w:sz="4" w:space="0" w:color="auto"/>
              <w:right w:val="single" w:sz="4"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r>
      <w:tr w:rsidR="00B763FA" w:rsidRPr="00C87D5D" w:rsidTr="00682F9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763FA" w:rsidRPr="005923A8" w:rsidRDefault="00B763FA" w:rsidP="00B763FA">
            <w:pPr>
              <w:jc w:val="center"/>
              <w:rPr>
                <w:color w:val="000000"/>
              </w:rPr>
            </w:pPr>
            <w:r w:rsidRPr="005923A8">
              <w:rPr>
                <w:color w:val="000000"/>
              </w:rPr>
              <w:t>1</w:t>
            </w:r>
          </w:p>
        </w:tc>
        <w:tc>
          <w:tcPr>
            <w:tcW w:w="4705" w:type="dxa"/>
            <w:tcBorders>
              <w:top w:val="nil"/>
              <w:left w:val="nil"/>
              <w:bottom w:val="single" w:sz="4" w:space="0" w:color="auto"/>
              <w:right w:val="single" w:sz="4" w:space="0" w:color="auto"/>
            </w:tcBorders>
            <w:shd w:val="clear" w:color="auto" w:fill="auto"/>
            <w:vAlign w:val="center"/>
          </w:tcPr>
          <w:p w:rsidR="00B763FA" w:rsidRPr="0022510C" w:rsidRDefault="005D1264" w:rsidP="00B763FA">
            <w:pPr>
              <w:jc w:val="center"/>
              <w:rPr>
                <w:color w:val="000000"/>
                <w:sz w:val="18"/>
                <w:szCs w:val="18"/>
              </w:rPr>
            </w:pPr>
            <w:r>
              <w:t xml:space="preserve">Кассета из комплекта офтальмологическая микрохирургическая </w:t>
            </w:r>
            <w:proofErr w:type="spellStart"/>
            <w:r>
              <w:t>факоэмульсификационная</w:t>
            </w:r>
            <w:proofErr w:type="spellEnd"/>
            <w:r>
              <w:t xml:space="preserve"> система </w:t>
            </w:r>
            <w:proofErr w:type="spellStart"/>
            <w:r>
              <w:t>WhiteStar</w:t>
            </w:r>
            <w:proofErr w:type="spellEnd"/>
            <w:r>
              <w:t xml:space="preserve"> </w:t>
            </w:r>
            <w:proofErr w:type="spellStart"/>
            <w:r>
              <w:t>Signature</w:t>
            </w:r>
            <w:proofErr w:type="spellEnd"/>
          </w:p>
        </w:tc>
        <w:tc>
          <w:tcPr>
            <w:tcW w:w="973" w:type="dxa"/>
            <w:tcBorders>
              <w:top w:val="nil"/>
              <w:left w:val="nil"/>
              <w:bottom w:val="single" w:sz="4" w:space="0" w:color="auto"/>
              <w:right w:val="single" w:sz="4" w:space="0" w:color="auto"/>
            </w:tcBorders>
            <w:shd w:val="clear" w:color="auto" w:fill="auto"/>
            <w:vAlign w:val="center"/>
          </w:tcPr>
          <w:p w:rsidR="00B763FA" w:rsidRPr="00B763FA" w:rsidRDefault="00B763FA" w:rsidP="00B763FA">
            <w:pPr>
              <w:jc w:val="center"/>
              <w:rPr>
                <w:color w:val="000000"/>
                <w:sz w:val="18"/>
                <w:szCs w:val="18"/>
                <w:lang w:val="kk-KZ"/>
              </w:rPr>
            </w:pPr>
            <w:r>
              <w:rPr>
                <w:color w:val="000000"/>
                <w:sz w:val="18"/>
                <w:szCs w:val="18"/>
                <w:lang w:val="kk-KZ"/>
              </w:rPr>
              <w:t>шт</w:t>
            </w:r>
          </w:p>
        </w:tc>
        <w:tc>
          <w:tcPr>
            <w:tcW w:w="5978" w:type="dxa"/>
            <w:tcBorders>
              <w:top w:val="nil"/>
              <w:left w:val="nil"/>
              <w:bottom w:val="single" w:sz="4" w:space="0" w:color="auto"/>
              <w:right w:val="single" w:sz="4" w:space="0" w:color="auto"/>
            </w:tcBorders>
            <w:shd w:val="clear" w:color="auto" w:fill="auto"/>
            <w:vAlign w:val="center"/>
          </w:tcPr>
          <w:p w:rsidR="00B763FA" w:rsidRDefault="005D1264" w:rsidP="005D1264">
            <w:pPr>
              <w:pStyle w:val="af3"/>
              <w:suppressAutoHyphens/>
              <w:spacing w:before="0" w:beforeAutospacing="0" w:after="0" w:afterAutospacing="0" w:line="270" w:lineRule="atLeast"/>
              <w:ind w:right="113"/>
              <w:jc w:val="both"/>
            </w:pPr>
            <w:r>
              <w:t xml:space="preserve">Кассета из комплекта офтальмологическая микрохирургическая </w:t>
            </w:r>
            <w:proofErr w:type="spellStart"/>
            <w:r>
              <w:t>факоэмульсификационная</w:t>
            </w:r>
            <w:proofErr w:type="spellEnd"/>
            <w:r>
              <w:t xml:space="preserve"> система </w:t>
            </w:r>
            <w:proofErr w:type="spellStart"/>
            <w:r>
              <w:t>WhiteStar</w:t>
            </w:r>
            <w:proofErr w:type="spellEnd"/>
            <w:r>
              <w:t xml:space="preserve"> </w:t>
            </w:r>
            <w:proofErr w:type="spellStart"/>
            <w:r>
              <w:t>Signature</w:t>
            </w:r>
            <w:proofErr w:type="spellEnd"/>
            <w:r>
              <w:t>:</w:t>
            </w:r>
          </w:p>
          <w:p w:rsidR="005D1264" w:rsidRDefault="005D1264" w:rsidP="005D1264">
            <w:pPr>
              <w:pStyle w:val="af3"/>
              <w:suppressAutoHyphens/>
              <w:spacing w:before="0" w:beforeAutospacing="0" w:after="0" w:afterAutospacing="0" w:line="270" w:lineRule="atLeast"/>
              <w:ind w:right="113"/>
              <w:jc w:val="both"/>
            </w:pPr>
            <w:r>
              <w:t>Прозрачный форм-фактор</w:t>
            </w:r>
            <w:r>
              <w:t>;</w:t>
            </w:r>
          </w:p>
          <w:p w:rsidR="005D1264" w:rsidRDefault="005D1264" w:rsidP="005D1264">
            <w:pPr>
              <w:pStyle w:val="af3"/>
              <w:suppressAutoHyphens/>
              <w:spacing w:before="0" w:beforeAutospacing="0" w:after="0" w:afterAutospacing="0" w:line="270" w:lineRule="atLeast"/>
              <w:ind w:right="113"/>
              <w:jc w:val="both"/>
            </w:pPr>
            <w:r>
              <w:t xml:space="preserve">Одна кассета </w:t>
            </w:r>
            <w:r>
              <w:t xml:space="preserve">для работы </w:t>
            </w:r>
            <w:proofErr w:type="spellStart"/>
            <w:r>
              <w:t>обойх</w:t>
            </w:r>
            <w:proofErr w:type="spellEnd"/>
            <w:r>
              <w:t xml:space="preserve"> </w:t>
            </w:r>
            <w:proofErr w:type="spellStart"/>
            <w:r>
              <w:t>нассосов</w:t>
            </w:r>
            <w:proofErr w:type="spellEnd"/>
            <w:r>
              <w:t xml:space="preserve"> </w:t>
            </w:r>
            <w:proofErr w:type="spellStart"/>
            <w:r>
              <w:t>Dual</w:t>
            </w:r>
            <w:proofErr w:type="spellEnd"/>
            <w:r>
              <w:t xml:space="preserve"> </w:t>
            </w:r>
            <w:proofErr w:type="spellStart"/>
            <w:r>
              <w:t>Pump</w:t>
            </w:r>
            <w:proofErr w:type="spellEnd"/>
            <w:r>
              <w:t xml:space="preserve"> </w:t>
            </w:r>
            <w:proofErr w:type="spellStart"/>
            <w:r>
              <w:t>System</w:t>
            </w:r>
            <w:proofErr w:type="spellEnd"/>
            <w:r>
              <w:t>;</w:t>
            </w:r>
          </w:p>
          <w:p w:rsidR="005D1264" w:rsidRDefault="005D1264" w:rsidP="005D1264">
            <w:pPr>
              <w:pStyle w:val="af3"/>
              <w:suppressAutoHyphens/>
              <w:spacing w:before="0" w:beforeAutospacing="0" w:after="0" w:afterAutospacing="0" w:line="270" w:lineRule="atLeast"/>
              <w:ind w:right="113"/>
              <w:jc w:val="both"/>
            </w:pPr>
            <w:r>
              <w:t>Улучшенные трубки ирригации-аспирации для точн</w:t>
            </w:r>
            <w:r>
              <w:t>ого контроля жидкостных потоков;</w:t>
            </w:r>
          </w:p>
          <w:p w:rsidR="005D1264" w:rsidRDefault="005D1264" w:rsidP="005D1264">
            <w:pPr>
              <w:pStyle w:val="af3"/>
              <w:suppressAutoHyphens/>
              <w:spacing w:before="0" w:beforeAutospacing="0" w:after="0" w:afterAutospacing="0" w:line="270" w:lineRule="atLeast"/>
              <w:ind w:right="113"/>
              <w:jc w:val="both"/>
            </w:pPr>
            <w:r>
              <w:t xml:space="preserve"> Клапан контроля </w:t>
            </w:r>
            <w:proofErr w:type="spellStart"/>
            <w:r>
              <w:t>постоклюзацио</w:t>
            </w:r>
            <w:r>
              <w:t>нного</w:t>
            </w:r>
            <w:proofErr w:type="spellEnd"/>
            <w:r>
              <w:t xml:space="preserve"> </w:t>
            </w:r>
            <w:proofErr w:type="spellStart"/>
            <w:r>
              <w:t>спадения</w:t>
            </w:r>
            <w:proofErr w:type="spellEnd"/>
            <w:r>
              <w:t xml:space="preserve"> передней камеры;</w:t>
            </w:r>
          </w:p>
          <w:p w:rsidR="005D1264" w:rsidRDefault="005D1264" w:rsidP="005D1264">
            <w:pPr>
              <w:pStyle w:val="af3"/>
              <w:suppressAutoHyphens/>
              <w:spacing w:before="0" w:beforeAutospacing="0" w:after="0" w:afterAutospacing="0" w:line="270" w:lineRule="atLeast"/>
              <w:ind w:right="113"/>
              <w:jc w:val="both"/>
            </w:pPr>
            <w:r>
              <w:t xml:space="preserve"> </w:t>
            </w:r>
            <w:proofErr w:type="spellStart"/>
            <w:r>
              <w:t>Вентинг</w:t>
            </w:r>
            <w:proofErr w:type="spellEnd"/>
            <w:r>
              <w:t xml:space="preserve"> клапан</w:t>
            </w:r>
            <w:r>
              <w:t>;</w:t>
            </w:r>
          </w:p>
          <w:p w:rsidR="005D1264" w:rsidRDefault="005D1264" w:rsidP="005D1264">
            <w:pPr>
              <w:pStyle w:val="af3"/>
              <w:suppressAutoHyphens/>
              <w:spacing w:before="0" w:beforeAutospacing="0" w:after="0" w:afterAutospacing="0" w:line="270" w:lineRule="atLeast"/>
              <w:ind w:right="113"/>
              <w:jc w:val="both"/>
            </w:pPr>
            <w:r>
              <w:t xml:space="preserve"> Увеличенная скорость набора вакуума при использо</w:t>
            </w:r>
            <w:r>
              <w:t>вании перистальтического насоса;</w:t>
            </w:r>
          </w:p>
          <w:p w:rsidR="005D1264" w:rsidRPr="00B763FA" w:rsidRDefault="005D1264" w:rsidP="005D1264">
            <w:pPr>
              <w:pStyle w:val="af3"/>
              <w:suppressAutoHyphens/>
              <w:spacing w:before="0" w:beforeAutospacing="0" w:after="0" w:afterAutospacing="0" w:line="270" w:lineRule="atLeast"/>
              <w:ind w:right="113"/>
              <w:jc w:val="both"/>
              <w:rPr>
                <w:color w:val="000000"/>
              </w:rPr>
            </w:pPr>
            <w:r>
              <w:t xml:space="preserve"> Коэффициент расходования - 0,2.</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lastRenderedPageBreak/>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w:t>
      </w:r>
      <w:proofErr w:type="gramStart"/>
      <w:r w:rsidRPr="00ED2FCB">
        <w:rPr>
          <w:rFonts w:ascii="Times New Roman" w:hAnsi="Times New Roman" w:cs="Times New Roman"/>
          <w:b w:val="0"/>
          <w:bCs w:val="0"/>
          <w:color w:val="000000"/>
          <w:sz w:val="22"/>
          <w:szCs w:val="22"/>
        </w:rPr>
        <w:t>_</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proofErr w:type="gramStart"/>
            <w:r w:rsidRPr="00ED2FCB">
              <w:rPr>
                <w:color w:val="000000"/>
                <w:sz w:val="22"/>
                <w:szCs w:val="22"/>
              </w:rPr>
              <w:t>Содержание</w:t>
            </w:r>
            <w:r w:rsidRPr="00ED2FCB">
              <w:rPr>
                <w:color w:val="000000"/>
                <w:sz w:val="22"/>
                <w:szCs w:val="22"/>
              </w:rPr>
              <w:br/>
              <w:t>(</w:t>
            </w:r>
            <w:proofErr w:type="gramEnd"/>
            <w:r w:rsidRPr="00ED2FCB">
              <w:rPr>
                <w:color w:val="000000"/>
                <w:sz w:val="22"/>
                <w:szCs w:val="22"/>
              </w:rP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r>
      <w:r w:rsidRPr="00ED2FCB">
        <w:rPr>
          <w:color w:val="000000"/>
          <w:sz w:val="22"/>
          <w:szCs w:val="22"/>
        </w:rPr>
        <w:lastRenderedPageBreak/>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B763FA">
        <w:rPr>
          <w:rFonts w:eastAsia="Arial Unicode MS"/>
          <w:sz w:val="24"/>
          <w:szCs w:val="24"/>
          <w:lang w:val="kk-KZ"/>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5D1264">
        <w:rPr>
          <w:rFonts w:eastAsia="Arial Unicode MS"/>
        </w:rPr>
        <w:t>Берикова</w:t>
      </w:r>
      <w:proofErr w:type="spellEnd"/>
      <w:r w:rsidR="005D1264">
        <w:rPr>
          <w:rFonts w:eastAsia="Arial Unicode MS"/>
        </w:rPr>
        <w:t xml:space="preserve"> Э.А.</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w:t>
      </w:r>
      <w:r w:rsidRPr="0043071F">
        <w:rPr>
          <w:rFonts w:eastAsia="Arial Unicode MS"/>
        </w:rPr>
        <w:lastRenderedPageBreak/>
        <w:t>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w:t>
      </w:r>
      <w:r w:rsidRPr="0043071F">
        <w:rPr>
          <w:rFonts w:eastAsia="Arial Unicode MS"/>
        </w:rPr>
        <w:lastRenderedPageBreak/>
        <w:t>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w:t>
      </w:r>
      <w:r w:rsidRPr="0043071F">
        <w:rPr>
          <w:rFonts w:eastAsia="Arial Unicode MS"/>
        </w:rPr>
        <w:lastRenderedPageBreak/>
        <w:t>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w:t>
      </w:r>
      <w:r w:rsidRPr="0043071F">
        <w:rPr>
          <w:rFonts w:eastAsia="Arial Unicode MS"/>
        </w:rPr>
        <w:lastRenderedPageBreak/>
        <w:t>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CD9" w:rsidRDefault="00B34CD9">
      <w:r>
        <w:separator/>
      </w:r>
    </w:p>
  </w:endnote>
  <w:endnote w:type="continuationSeparator" w:id="0">
    <w:p w:rsidR="00B34CD9" w:rsidRDefault="00B3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D9" w:rsidRDefault="00B34CD9">
    <w:pPr>
      <w:pStyle w:val="af"/>
      <w:jc w:val="right"/>
    </w:pPr>
  </w:p>
  <w:p w:rsidR="00B34CD9" w:rsidRDefault="00B34CD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D9" w:rsidRDefault="00B34CD9"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34CD9" w:rsidRDefault="00B34CD9"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D9" w:rsidRDefault="00B34CD9"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CD9" w:rsidRDefault="00B34CD9">
      <w:r>
        <w:separator/>
      </w:r>
    </w:p>
  </w:footnote>
  <w:footnote w:type="continuationSeparator" w:id="0">
    <w:p w:rsidR="00B34CD9" w:rsidRDefault="00B34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D9" w:rsidRDefault="00B34CD9">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9"/>
  </w:num>
  <w:num w:numId="3">
    <w:abstractNumId w:val="17"/>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18"/>
  </w:num>
  <w:num w:numId="14">
    <w:abstractNumId w:val="16"/>
  </w:num>
  <w:num w:numId="15">
    <w:abstractNumId w:val="5"/>
  </w:num>
  <w:num w:numId="16">
    <w:abstractNumId w:val="10"/>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216D9"/>
    <w:rsid w:val="0043071F"/>
    <w:rsid w:val="0043510A"/>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1264"/>
    <w:rsid w:val="005D3B08"/>
    <w:rsid w:val="005E71B3"/>
    <w:rsid w:val="005F4A05"/>
    <w:rsid w:val="0060017C"/>
    <w:rsid w:val="006042B7"/>
    <w:rsid w:val="00630A67"/>
    <w:rsid w:val="0063377A"/>
    <w:rsid w:val="00633D04"/>
    <w:rsid w:val="006409F3"/>
    <w:rsid w:val="006578DD"/>
    <w:rsid w:val="00675FCA"/>
    <w:rsid w:val="00682F99"/>
    <w:rsid w:val="006914D2"/>
    <w:rsid w:val="00695E2E"/>
    <w:rsid w:val="00696C46"/>
    <w:rsid w:val="006A29EA"/>
    <w:rsid w:val="006A56CC"/>
    <w:rsid w:val="006A6D55"/>
    <w:rsid w:val="006C19CD"/>
    <w:rsid w:val="006C238D"/>
    <w:rsid w:val="006D16E0"/>
    <w:rsid w:val="006D25D8"/>
    <w:rsid w:val="006D6713"/>
    <w:rsid w:val="006E2309"/>
    <w:rsid w:val="006E7C64"/>
    <w:rsid w:val="00701FCA"/>
    <w:rsid w:val="00703786"/>
    <w:rsid w:val="007263C5"/>
    <w:rsid w:val="0074269E"/>
    <w:rsid w:val="00761B9D"/>
    <w:rsid w:val="00776568"/>
    <w:rsid w:val="007808BD"/>
    <w:rsid w:val="00782D0A"/>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34CD9"/>
    <w:rsid w:val="00B4637E"/>
    <w:rsid w:val="00B51B30"/>
    <w:rsid w:val="00B61CF8"/>
    <w:rsid w:val="00B763FA"/>
    <w:rsid w:val="00B877E8"/>
    <w:rsid w:val="00B87807"/>
    <w:rsid w:val="00B94ED8"/>
    <w:rsid w:val="00BC0851"/>
    <w:rsid w:val="00BC34D1"/>
    <w:rsid w:val="00BE630C"/>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A077D"/>
    <w:rsid w:val="00CB75AF"/>
    <w:rsid w:val="00CB7EF2"/>
    <w:rsid w:val="00CC6A67"/>
    <w:rsid w:val="00CD71BB"/>
    <w:rsid w:val="00CF2C46"/>
    <w:rsid w:val="00CF79ED"/>
    <w:rsid w:val="00D02464"/>
    <w:rsid w:val="00D138E7"/>
    <w:rsid w:val="00D304DE"/>
    <w:rsid w:val="00D3214B"/>
    <w:rsid w:val="00D33BE7"/>
    <w:rsid w:val="00D36B6E"/>
    <w:rsid w:val="00D4214E"/>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7751-F1AE-42EC-884D-C1AFEEA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34</Pages>
  <Words>11114</Words>
  <Characters>63353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219</cp:revision>
  <cp:lastPrinted>2023-01-10T06:34:00Z</cp:lastPrinted>
  <dcterms:created xsi:type="dcterms:W3CDTF">2020-01-09T04:48:00Z</dcterms:created>
  <dcterms:modified xsi:type="dcterms:W3CDTF">2023-03-14T05:13:00Z</dcterms:modified>
</cp:coreProperties>
</file>