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DF41BD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Объявления №</w:t>
      </w:r>
      <w:r w:rsidR="00C205ED">
        <w:rPr>
          <w:rFonts w:ascii="Times New Roman" w:hAnsi="Times New Roman" w:cs="Times New Roman"/>
          <w:b/>
        </w:rPr>
        <w:t>2</w:t>
      </w:r>
      <w:r w:rsidR="0097540C">
        <w:rPr>
          <w:rFonts w:ascii="Times New Roman" w:hAnsi="Times New Roman" w:cs="Times New Roman"/>
          <w:b/>
        </w:rPr>
        <w:t>8</w:t>
      </w:r>
    </w:p>
    <w:p w:rsidR="00BF727D" w:rsidRPr="009F7D18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 проведении</w:t>
      </w:r>
      <w:r>
        <w:rPr>
          <w:rFonts w:ascii="Times New Roman" w:hAnsi="Times New Roman" w:cs="Times New Roman"/>
          <w:b/>
          <w:lang w:val="kk-KZ"/>
        </w:rPr>
        <w:t xml:space="preserve"> закупа способом </w:t>
      </w:r>
      <w:r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0915" w:type="dxa"/>
        <w:tblInd w:w="-1139" w:type="dxa"/>
        <w:tblLook w:val="04A0" w:firstRow="1" w:lastRow="0" w:firstColumn="1" w:lastColumn="0" w:noHBand="0" w:noVBand="1"/>
      </w:tblPr>
      <w:tblGrid>
        <w:gridCol w:w="4366"/>
        <w:gridCol w:w="6549"/>
      </w:tblGrid>
      <w:tr w:rsidR="00BE35F6" w:rsidRPr="00BE35F6" w:rsidTr="00345186">
        <w:tc>
          <w:tcPr>
            <w:tcW w:w="10915" w:type="dxa"/>
            <w:gridSpan w:val="2"/>
          </w:tcPr>
          <w:p w:rsidR="00BE35F6" w:rsidRPr="00BE35F6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BE35F6" w:rsidTr="00345186">
        <w:tc>
          <w:tcPr>
            <w:tcW w:w="4366" w:type="dxa"/>
          </w:tcPr>
          <w:p w:rsidR="00BE35F6" w:rsidRPr="00BE35F6" w:rsidRDefault="00BE35F6" w:rsidP="00ED77C2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6549" w:type="dxa"/>
          </w:tcPr>
          <w:p w:rsidR="00BE35F6" w:rsidRPr="0031163A" w:rsidRDefault="00BE35F6" w:rsidP="00B05F48">
            <w:pPr>
              <w:ind w:left="6" w:right="-11" w:hanging="17"/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области»</w:t>
            </w:r>
            <w:r w:rsidR="00954C83">
              <w:rPr>
                <w:rFonts w:ascii="Times New Roman" w:hAnsi="Times New Roman" w:cs="Times New Roman"/>
              </w:rPr>
              <w:t xml:space="preserve"> </w:t>
            </w:r>
            <w:r w:rsidR="0031163A">
              <w:rPr>
                <w:rFonts w:ascii="Times New Roman" w:hAnsi="Times New Roman" w:cs="Times New Roman"/>
              </w:rPr>
              <w:t>(</w:t>
            </w:r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5" w:history="1">
              <w:r w:rsidR="00954C83" w:rsidRPr="0088792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www.amkb.kz</w:t>
              </w:r>
            </w:hyperlink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C83">
              <w:rPr>
                <w:rFonts w:ascii="Times New Roman" w:hAnsi="Times New Roman" w:cs="Times New Roman"/>
                <w:sz w:val="24"/>
                <w:szCs w:val="24"/>
              </w:rPr>
              <w:t xml:space="preserve">, электронный адрес </w:t>
            </w:r>
            <w:hyperlink r:id="rId6" w:history="1"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goszakup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amkb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1163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C205ED" w:rsidRPr="00BE35F6">
              <w:rPr>
                <w:rFonts w:ascii="Times New Roman" w:hAnsi="Times New Roman" w:cs="Times New Roman"/>
              </w:rPr>
              <w:t>Закуп</w:t>
            </w:r>
            <w:r w:rsidR="00C205ED">
              <w:rPr>
                <w:rFonts w:ascii="Times New Roman" w:hAnsi="Times New Roman" w:cs="Times New Roman"/>
                <w:lang w:val="kk-KZ"/>
              </w:rPr>
              <w:t>а</w:t>
            </w:r>
            <w:r w:rsidR="00C205ED" w:rsidRPr="00BE35F6">
              <w:rPr>
                <w:rFonts w:ascii="Times New Roman" w:hAnsi="Times New Roman" w:cs="Times New Roman"/>
              </w:rPr>
              <w:t xml:space="preserve"> реагентов и расходных материалов</w:t>
            </w:r>
            <w:r w:rsidR="00C20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C1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анализатора </w:t>
            </w:r>
            <w:r w:rsidR="00B05F48"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BD </w:t>
            </w:r>
            <w:proofErr w:type="spellStart"/>
            <w:r w:rsidR="00B05F48"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PrepStain</w:t>
            </w:r>
            <w:proofErr w:type="spellEnd"/>
            <w:r w:rsidR="00B05F48"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05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Товар)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способом запроса ценовых предложений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 и проведения закупа лекарственных средств и медицинских изделий, фармацевтических услуг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утвержденных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Правительства Республики Казахстан от 30 октября 2009 года № 1729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Правила)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6549" w:type="dxa"/>
          </w:tcPr>
          <w:p w:rsidR="00B20F89" w:rsidRPr="00BE35F6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Илийский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р-</w:t>
            </w:r>
            <w:proofErr w:type="gramStart"/>
            <w:r w:rsidRPr="00BE35F6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BE35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BE35F6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6549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BE35F6" w:rsidTr="00345186">
        <w:tc>
          <w:tcPr>
            <w:tcW w:w="4366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6549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</w:rPr>
            </w:pPr>
            <w:r w:rsidRPr="00887923"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6549" w:type="dxa"/>
          </w:tcPr>
          <w:p w:rsidR="006E7ABC" w:rsidRPr="00BE35F6" w:rsidRDefault="006E7ABC" w:rsidP="00ED77C2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F12FC1" w:rsidRPr="00BE35F6" w:rsidTr="00345186">
        <w:tc>
          <w:tcPr>
            <w:tcW w:w="4366" w:type="dxa"/>
          </w:tcPr>
          <w:p w:rsidR="00F12FC1" w:rsidRPr="00BE35F6" w:rsidRDefault="00F12FC1" w:rsidP="00F12FC1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6549" w:type="dxa"/>
          </w:tcPr>
          <w:p w:rsidR="00F12FC1" w:rsidRPr="002427DF" w:rsidRDefault="00F12FC1" w:rsidP="00F12FC1">
            <w:pPr>
              <w:rPr>
                <w:rFonts w:ascii="Times New Roman" w:hAnsi="Times New Roman" w:cs="Times New Roman"/>
                <w:lang w:val="kk-KZ"/>
              </w:rPr>
            </w:pPr>
            <w:r w:rsidRPr="00AD1F1D">
              <w:rPr>
                <w:rFonts w:ascii="Times New Roman" w:hAnsi="Times New Roman" w:cs="Times New Roman"/>
              </w:rPr>
              <w:t xml:space="preserve">в течение 3 рабочих дней </w:t>
            </w:r>
            <w:r>
              <w:rPr>
                <w:rFonts w:ascii="Times New Roman" w:hAnsi="Times New Roman" w:cs="Times New Roman"/>
                <w:lang w:val="kk-KZ"/>
              </w:rPr>
              <w:t>со дня подачи заявки заказчика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6549" w:type="dxa"/>
          </w:tcPr>
          <w:p w:rsidR="006E7ABC" w:rsidRPr="00804AF0" w:rsidRDefault="00E81593" w:rsidP="008D699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kk-KZ"/>
              </w:rPr>
              <w:t>1750000</w:t>
            </w:r>
            <w:r w:rsidR="006E712D" w:rsidRPr="00804A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7286B" w:rsidRPr="00F04D41">
              <w:rPr>
                <w:rFonts w:ascii="Times New Roman" w:hAnsi="Times New Roman" w:cs="Times New Roman"/>
              </w:rPr>
              <w:t>(</w:t>
            </w:r>
            <w:bookmarkStart w:id="0" w:name="_GoBack"/>
            <w:r w:rsidRPr="00E81593">
              <w:rPr>
                <w:rFonts w:ascii="Times New Roman" w:hAnsi="Times New Roman" w:cs="Times New Roman"/>
              </w:rPr>
              <w:t>один миллион семьсот пятьдесят тысяч</w:t>
            </w:r>
            <w:bookmarkEnd w:id="0"/>
            <w:r w:rsidR="00C86333" w:rsidRPr="00F04D41">
              <w:rPr>
                <w:rFonts w:ascii="Times New Roman" w:hAnsi="Times New Roman" w:cs="Times New Roman"/>
              </w:rPr>
              <w:t>)</w:t>
            </w:r>
            <w:r w:rsidR="00C86333" w:rsidRPr="00C86333">
              <w:rPr>
                <w:rFonts w:ascii="Times New Roman" w:hAnsi="Times New Roman" w:cs="Times New Roman"/>
              </w:rPr>
              <w:t xml:space="preserve"> тенге</w:t>
            </w:r>
            <w:r w:rsidR="00804AF0" w:rsidRPr="00804AF0">
              <w:rPr>
                <w:rFonts w:ascii="Times New Roman" w:hAnsi="Times New Roman" w:cs="Times New Roman"/>
                <w:color w:val="000000"/>
              </w:rPr>
              <w:t xml:space="preserve">, 00 </w:t>
            </w:r>
            <w:proofErr w:type="spellStart"/>
            <w:r w:rsidR="00804AF0" w:rsidRPr="00804AF0">
              <w:rPr>
                <w:rFonts w:ascii="Times New Roman" w:hAnsi="Times New Roman" w:cs="Times New Roman"/>
                <w:color w:val="000000"/>
              </w:rPr>
              <w:t>тиын</w:t>
            </w:r>
            <w:proofErr w:type="spellEnd"/>
            <w:r w:rsidR="00804AF0" w:rsidRPr="00804AF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BE35F6" w:rsidTr="00345186">
        <w:tc>
          <w:tcPr>
            <w:tcW w:w="4366" w:type="dxa"/>
            <w:vAlign w:val="center"/>
          </w:tcPr>
          <w:p w:rsidR="005E2E1C" w:rsidRPr="00BE35F6" w:rsidRDefault="005E2E1C" w:rsidP="001726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6549" w:type="dxa"/>
          </w:tcPr>
          <w:p w:rsidR="005E2E1C" w:rsidRPr="00706F24" w:rsidRDefault="005E2E1C" w:rsidP="00172695">
            <w:pPr>
              <w:rPr>
                <w:rFonts w:ascii="Times New Roman" w:hAnsi="Times New Roman" w:cs="Times New Roman"/>
                <w:color w:val="000000"/>
              </w:rPr>
            </w:pPr>
            <w:r w:rsidRPr="00AD1F1D">
              <w:rPr>
                <w:rFonts w:ascii="Times New Roman" w:hAnsi="Times New Roman" w:cs="Times New Roman"/>
                <w:color w:val="000000"/>
              </w:rPr>
              <w:t xml:space="preserve">в течение 90 банковских дней, с даты подписания документов о приемке </w:t>
            </w:r>
            <w:proofErr w:type="gramStart"/>
            <w:r w:rsidRPr="00AD1F1D">
              <w:rPr>
                <w:rFonts w:ascii="Times New Roman" w:hAnsi="Times New Roman" w:cs="Times New Roman"/>
                <w:color w:val="000000"/>
              </w:rPr>
              <w:t xml:space="preserve">товара.  </w:t>
            </w:r>
            <w:proofErr w:type="gramEnd"/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Запрос ценовых предложений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05F48" w:rsidRDefault="00C205ED" w:rsidP="00B05F48">
            <w:pPr>
              <w:ind w:left="6" w:right="-11" w:hanging="1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5F6">
              <w:rPr>
                <w:rFonts w:ascii="Times New Roman" w:hAnsi="Times New Roman" w:cs="Times New Roman"/>
              </w:rPr>
              <w:t>Закуп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BE35F6">
              <w:rPr>
                <w:rFonts w:ascii="Times New Roman" w:hAnsi="Times New Roman" w:cs="Times New Roman"/>
              </w:rPr>
              <w:t xml:space="preserve"> реагентов и расходных материалов</w:t>
            </w:r>
            <w:r w:rsidR="00B05F48">
              <w:rPr>
                <w:rFonts w:ascii="Times New Roman" w:hAnsi="Times New Roman" w:cs="Times New Roman"/>
              </w:rPr>
              <w:t xml:space="preserve"> </w:t>
            </w:r>
            <w:r w:rsidR="00B05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анализатора </w:t>
            </w:r>
            <w:r w:rsidR="00B05F48"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BD </w:t>
            </w:r>
            <w:proofErr w:type="spellStart"/>
            <w:r w:rsidR="00B05F48"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PrepStain</w:t>
            </w:r>
            <w:proofErr w:type="spellEnd"/>
            <w:r w:rsidR="00B05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97540C" w:rsidP="00C205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19</w:t>
            </w:r>
            <w:r w:rsidR="0031163A">
              <w:rPr>
                <w:rFonts w:ascii="Times New Roman" w:hAnsi="Times New Roman" w:cs="Times New Roman"/>
              </w:rPr>
              <w:t xml:space="preserve"> </w:t>
            </w:r>
            <w:r w:rsidR="00C205ED">
              <w:rPr>
                <w:rFonts w:ascii="Times New Roman" w:hAnsi="Times New Roman" w:cs="Times New Roman"/>
              </w:rPr>
              <w:t>февраля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BE35F6">
              <w:rPr>
                <w:rFonts w:ascii="Times New Roman" w:hAnsi="Times New Roman" w:cs="Times New Roman"/>
              </w:rPr>
              <w:t>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BE35F6" w:rsidTr="00345186">
        <w:trPr>
          <w:trHeight w:val="209"/>
        </w:trPr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31163A" w:rsidP="0097540C">
            <w:pPr>
              <w:jc w:val="both"/>
              <w:rPr>
                <w:rFonts w:ascii="Times New Roman" w:hAnsi="Times New Roman" w:cs="Times New Roman"/>
              </w:rPr>
            </w:pP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Ценовые предложения потенциальных поставщиков, запечатанные в конверт,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 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ить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кончательный срок подачи ценовых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 10 часов 00 минут </w:t>
            </w:r>
            <w:r w:rsidR="009754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85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фераля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B3E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года.</w:t>
            </w:r>
            <w:r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1E1D4F" w:rsidP="001E1D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и </w:t>
            </w:r>
            <w:r w:rsidRPr="001E1D4F">
              <w:rPr>
                <w:rFonts w:ascii="Times New Roman" w:hAnsi="Times New Roman" w:cs="Times New Roman"/>
                <w:b/>
              </w:rPr>
              <w:t>время вскрытия кон</w:t>
            </w:r>
            <w:r>
              <w:rPr>
                <w:rFonts w:ascii="Times New Roman" w:hAnsi="Times New Roman" w:cs="Times New Roman"/>
                <w:b/>
              </w:rPr>
              <w:t>вертов с ценовыми предложениями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97540C" w:rsidP="00B05F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26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85F4B">
              <w:rPr>
                <w:rFonts w:ascii="Times New Roman" w:hAnsi="Times New Roman" w:cs="Times New Roman"/>
                <w:lang w:val="kk-KZ"/>
              </w:rPr>
              <w:t>февраля</w:t>
            </w:r>
            <w:r w:rsidR="00BE35F6" w:rsidRPr="00BE35F6">
              <w:rPr>
                <w:rFonts w:ascii="Times New Roman" w:hAnsi="Times New Roman" w:cs="Times New Roman"/>
              </w:rPr>
              <w:t xml:space="preserve"> 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 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4319B1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часов </w:t>
            </w:r>
            <w:r w:rsidR="00015B37">
              <w:rPr>
                <w:rFonts w:ascii="Times New Roman" w:hAnsi="Times New Roman" w:cs="Times New Roman"/>
              </w:rPr>
              <w:t>0</w:t>
            </w:r>
            <w:r w:rsidR="00197E8F">
              <w:rPr>
                <w:rFonts w:ascii="Times New Roman" w:hAnsi="Times New Roman" w:cs="Times New Roman"/>
              </w:rPr>
              <w:t>0</w:t>
            </w:r>
            <w:r w:rsidR="00BE35F6" w:rsidRPr="00BE35F6">
              <w:rPr>
                <w:rFonts w:ascii="Times New Roman" w:hAnsi="Times New Roman" w:cs="Times New Roman"/>
              </w:rPr>
              <w:t xml:space="preserve"> минут</w:t>
            </w:r>
            <w:r w:rsidR="00FB3E1D">
              <w:rPr>
                <w:rFonts w:ascii="Times New Roman" w:hAnsi="Times New Roman" w:cs="Times New Roman"/>
              </w:rPr>
              <w:t xml:space="preserve">, </w:t>
            </w:r>
            <w:r w:rsidR="00FB3E1D"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адресу</w:t>
            </w:r>
            <w:r w:rsidR="00FB3E1D" w:rsidRPr="00730149"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</w:p>
        </w:tc>
      </w:tr>
    </w:tbl>
    <w:p w:rsidR="008073FA" w:rsidRDefault="008073FA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tbl>
      <w:tblPr>
        <w:tblStyle w:val="a4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668"/>
        <w:gridCol w:w="2451"/>
        <w:gridCol w:w="4678"/>
        <w:gridCol w:w="851"/>
        <w:gridCol w:w="850"/>
        <w:gridCol w:w="851"/>
        <w:gridCol w:w="850"/>
      </w:tblGrid>
      <w:tr w:rsidR="00F52E0D" w:rsidRPr="00F66FE0" w:rsidTr="000D6392">
        <w:tc>
          <w:tcPr>
            <w:tcW w:w="668" w:type="dxa"/>
            <w:vAlign w:val="center"/>
          </w:tcPr>
          <w:p w:rsidR="00F52E0D" w:rsidRPr="00F66FE0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2451" w:type="dxa"/>
            <w:vAlign w:val="center"/>
          </w:tcPr>
          <w:p w:rsidR="00F52E0D" w:rsidRPr="00F66FE0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678" w:type="dxa"/>
            <w:vAlign w:val="center"/>
          </w:tcPr>
          <w:p w:rsidR="00F52E0D" w:rsidRPr="006B7BCB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BCB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851" w:type="dxa"/>
            <w:vAlign w:val="center"/>
          </w:tcPr>
          <w:p w:rsidR="00F52E0D" w:rsidRPr="00F66FE0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66FE0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F66FE0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850" w:type="dxa"/>
            <w:vAlign w:val="center"/>
          </w:tcPr>
          <w:p w:rsidR="00F52E0D" w:rsidRPr="00F66FE0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66FE0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851" w:type="dxa"/>
            <w:vAlign w:val="center"/>
          </w:tcPr>
          <w:p w:rsidR="00F52E0D" w:rsidRPr="00F66FE0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6FE0">
              <w:rPr>
                <w:rFonts w:ascii="Times New Roman" w:hAnsi="Times New Roman" w:cs="Times New Roman"/>
                <w:b/>
              </w:rPr>
              <w:t xml:space="preserve"> изм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0" w:type="dxa"/>
            <w:vAlign w:val="center"/>
          </w:tcPr>
          <w:p w:rsidR="00F52E0D" w:rsidRPr="00F66FE0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97540C" w:rsidRPr="00C86333" w:rsidTr="00F317BB">
        <w:tc>
          <w:tcPr>
            <w:tcW w:w="668" w:type="dxa"/>
            <w:vAlign w:val="center"/>
          </w:tcPr>
          <w:p w:rsidR="0097540C" w:rsidRPr="00F66FE0" w:rsidRDefault="0097540C" w:rsidP="00F317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6FE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51" w:type="dxa"/>
            <w:vAlign w:val="center"/>
          </w:tcPr>
          <w:p w:rsidR="0097540C" w:rsidRPr="00E45038" w:rsidRDefault="0097540C" w:rsidP="00F317BB">
            <w:pPr>
              <w:ind w:left="6" w:right="-11" w:hanging="1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Набор для проведения цитологических исследований гинекологического </w:t>
            </w:r>
            <w:r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материала к </w:t>
            </w:r>
            <w:proofErr w:type="gramStart"/>
            <w:r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системе </w:t>
            </w:r>
            <w:r w:rsidRPr="00E45038">
              <w:rPr>
                <w:sz w:val="24"/>
                <w:szCs w:val="24"/>
              </w:rPr>
              <w:t xml:space="preserve"> </w:t>
            </w:r>
            <w:r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приготовления</w:t>
            </w:r>
            <w:proofErr w:type="gramEnd"/>
            <w:r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окрашивания мазков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анализатора</w:t>
            </w:r>
            <w:r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45038">
              <w:rPr>
                <w:sz w:val="24"/>
                <w:szCs w:val="24"/>
              </w:rPr>
              <w:t xml:space="preserve"> </w:t>
            </w:r>
            <w:r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BD </w:t>
            </w:r>
            <w:proofErr w:type="spellStart"/>
            <w:r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PrepStain</w:t>
            </w:r>
            <w:proofErr w:type="spellEnd"/>
            <w:r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97540C" w:rsidRPr="00E171A5" w:rsidRDefault="0097540C" w:rsidP="00F317B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</w:tcPr>
          <w:p w:rsidR="0097540C" w:rsidRPr="00E45038" w:rsidRDefault="0097540C" w:rsidP="00F317BB">
            <w:pPr>
              <w:ind w:left="7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50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Флаконы содержат консервирующий раствор, который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является  средой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для сбора, транспортировки, консервирования и антибактериальной обработки гинекологических образцов.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Консервирующий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раствор  содержит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водный раствор денатурированного этилового спирта, небольшое количество метилового и изопропилового спиртов. Срок хранения флакона (без материала) 3 года при комнатной температуре. Срок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хранения  флакона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с материалом - 4 недели при комнатной температуре и 6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в холодильнике. Срок годности 3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года.</w:t>
            </w:r>
            <w:r w:rsidRPr="00730AB0">
              <w:rPr>
                <w:rFonts w:ascii="Times New Roman" w:hAnsi="Times New Roman" w:cs="Times New Roman"/>
              </w:rPr>
              <w:t>по</w:t>
            </w:r>
            <w:proofErr w:type="spellEnd"/>
            <w:r w:rsidRPr="00730AB0">
              <w:rPr>
                <w:rFonts w:ascii="Times New Roman" w:hAnsi="Times New Roman" w:cs="Times New Roman"/>
              </w:rPr>
              <w:t xml:space="preserve"> следующим параметрам: </w:t>
            </w:r>
            <w:proofErr w:type="spellStart"/>
            <w:r w:rsidRPr="00730AB0">
              <w:rPr>
                <w:rFonts w:ascii="Times New Roman" w:hAnsi="Times New Roman" w:cs="Times New Roman"/>
              </w:rPr>
              <w:t>pH</w:t>
            </w:r>
            <w:proofErr w:type="spellEnd"/>
            <w:r w:rsidRPr="00730AB0">
              <w:rPr>
                <w:rFonts w:ascii="Times New Roman" w:hAnsi="Times New Roman" w:cs="Times New Roman"/>
              </w:rPr>
              <w:t xml:space="preserve">, pCO2, pO2, </w:t>
            </w:r>
            <w:proofErr w:type="spellStart"/>
            <w:r w:rsidRPr="00730AB0">
              <w:rPr>
                <w:rFonts w:ascii="Times New Roman" w:hAnsi="Times New Roman" w:cs="Times New Roman"/>
              </w:rPr>
              <w:t>Na</w:t>
            </w:r>
            <w:proofErr w:type="spellEnd"/>
            <w:r w:rsidRPr="00730AB0">
              <w:rPr>
                <w:rFonts w:ascii="Times New Roman" w:hAnsi="Times New Roman" w:cs="Times New Roman"/>
              </w:rPr>
              <w:t xml:space="preserve">+, K+, </w:t>
            </w:r>
            <w:proofErr w:type="spellStart"/>
            <w:r w:rsidRPr="00730AB0">
              <w:rPr>
                <w:rFonts w:ascii="Times New Roman" w:hAnsi="Times New Roman" w:cs="Times New Roman"/>
              </w:rPr>
              <w:t>Ca</w:t>
            </w:r>
            <w:proofErr w:type="spellEnd"/>
            <w:r w:rsidRPr="00730AB0">
              <w:rPr>
                <w:rFonts w:ascii="Times New Roman" w:hAnsi="Times New Roman" w:cs="Times New Roman"/>
              </w:rPr>
              <w:t>+</w:t>
            </w:r>
            <w:proofErr w:type="gramStart"/>
            <w:r w:rsidRPr="00730AB0">
              <w:rPr>
                <w:rFonts w:ascii="Times New Roman" w:hAnsi="Times New Roman" w:cs="Times New Roman"/>
              </w:rPr>
              <w:t>+ ,</w:t>
            </w:r>
            <w:proofErr w:type="gramEnd"/>
            <w:r w:rsidRPr="00730AB0">
              <w:rPr>
                <w:rFonts w:ascii="Times New Roman" w:hAnsi="Times New Roman" w:cs="Times New Roman"/>
              </w:rPr>
              <w:t xml:space="preserve"> гематокрита, глюкозе и </w:t>
            </w:r>
            <w:proofErr w:type="spellStart"/>
            <w:r w:rsidRPr="00730AB0">
              <w:rPr>
                <w:rFonts w:ascii="Times New Roman" w:hAnsi="Times New Roman" w:cs="Times New Roman"/>
              </w:rPr>
              <w:t>лактату</w:t>
            </w:r>
            <w:proofErr w:type="spellEnd"/>
            <w:r w:rsidRPr="00730AB0">
              <w:rPr>
                <w:rFonts w:ascii="Times New Roman" w:hAnsi="Times New Roman" w:cs="Times New Roman"/>
              </w:rPr>
              <w:t>. После установки картриджа на борт анализатора активируется встроенная программа автономного проведения контроля качества при выполнении дальнейших исследований. Габариты 216х76х152 мм, Вес 1,9 кг. Принцип измерения: потенциометрия (</w:t>
            </w:r>
            <w:proofErr w:type="spellStart"/>
            <w:r w:rsidRPr="00730AB0">
              <w:rPr>
                <w:rFonts w:ascii="Times New Roman" w:hAnsi="Times New Roman" w:cs="Times New Roman"/>
              </w:rPr>
              <w:t>pH</w:t>
            </w:r>
            <w:proofErr w:type="spellEnd"/>
            <w:r w:rsidRPr="00730AB0">
              <w:rPr>
                <w:rFonts w:ascii="Times New Roman" w:hAnsi="Times New Roman" w:cs="Times New Roman"/>
              </w:rPr>
              <w:t xml:space="preserve">, pCO2, </w:t>
            </w:r>
            <w:proofErr w:type="spellStart"/>
            <w:r w:rsidRPr="00730AB0">
              <w:rPr>
                <w:rFonts w:ascii="Times New Roman" w:hAnsi="Times New Roman" w:cs="Times New Roman"/>
              </w:rPr>
              <w:t>Na</w:t>
            </w:r>
            <w:proofErr w:type="spellEnd"/>
            <w:r w:rsidRPr="00730AB0">
              <w:rPr>
                <w:rFonts w:ascii="Times New Roman" w:hAnsi="Times New Roman" w:cs="Times New Roman"/>
              </w:rPr>
              <w:t xml:space="preserve">+, K+, </w:t>
            </w:r>
            <w:proofErr w:type="spellStart"/>
            <w:r w:rsidRPr="00730AB0">
              <w:rPr>
                <w:rFonts w:ascii="Times New Roman" w:hAnsi="Times New Roman" w:cs="Times New Roman"/>
              </w:rPr>
              <w:t>Ca</w:t>
            </w:r>
            <w:proofErr w:type="spellEnd"/>
            <w:r w:rsidRPr="00730AB0">
              <w:rPr>
                <w:rFonts w:ascii="Times New Roman" w:hAnsi="Times New Roman" w:cs="Times New Roman"/>
              </w:rPr>
              <w:t xml:space="preserve">++), </w:t>
            </w:r>
            <w:proofErr w:type="spellStart"/>
            <w:r w:rsidRPr="00730AB0">
              <w:rPr>
                <w:rFonts w:ascii="Times New Roman" w:hAnsi="Times New Roman" w:cs="Times New Roman"/>
              </w:rPr>
              <w:t>амперометрия</w:t>
            </w:r>
            <w:proofErr w:type="spellEnd"/>
            <w:r w:rsidRPr="00730AB0">
              <w:rPr>
                <w:rFonts w:ascii="Times New Roman" w:hAnsi="Times New Roman" w:cs="Times New Roman"/>
              </w:rPr>
              <w:t xml:space="preserve"> (pO2, глюкоза, </w:t>
            </w:r>
            <w:proofErr w:type="spellStart"/>
            <w:r w:rsidRPr="00730AB0">
              <w:rPr>
                <w:rFonts w:ascii="Times New Roman" w:hAnsi="Times New Roman" w:cs="Times New Roman"/>
              </w:rPr>
              <w:t>лактат</w:t>
            </w:r>
            <w:proofErr w:type="spellEnd"/>
            <w:r w:rsidRPr="00730AB0">
              <w:rPr>
                <w:rFonts w:ascii="Times New Roman" w:hAnsi="Times New Roman" w:cs="Times New Roman"/>
              </w:rPr>
              <w:t>), проводимость (гематокрит). Время получения результата – 85 сек с момента подачи образца. Срок службы на борту - 21 день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Комбинированная щетка,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предназначена  для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взятия цервикальных образцов. Только для одноразового использования. Полиэтиленовая, длиной 20 см. Верхняя часть щеточки состоит из гибких щетинок различной длины по центру расположен ершик, который позволяет получить клетки из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эндоцервикального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канала, после взятия образца, снимается во флакон. Срок годности 5 лет.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Промывочная смесь,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для промывания осадочных камер при процедуре окрашивания на аппарате BD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PrepStain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™, состоящая из следующих компонентов: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изопропанол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- 50%, этанол - 48%, метанол - 2%. Упакован в герметичные пластиковые контейнеры.  </w:t>
            </w:r>
            <w:r w:rsidRPr="00E45038">
              <w:rPr>
                <w:sz w:val="24"/>
                <w:szCs w:val="24"/>
              </w:rPr>
              <w:t xml:space="preserve">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Срок годности 2 года.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цитологической окраски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предназначен  для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с системой BD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PrepStain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, для окрашивания цитологических препаратов по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Папаниколау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составе: краситель гематоксилин 0,75 - 1 флакон 480 мл; краситель комбинированный ЕА/ОG -1 флакон 480 мл. Краситель EA/OG для цитологических препаратов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PrepStain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содержит спирт.</w:t>
            </w:r>
            <w:r w:rsidRPr="00E450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годности  1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Порошок буферный, </w:t>
            </w:r>
            <w:r w:rsidRPr="00E45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7,8 - 8.2, порошок белого цвета, в составе: 0.138 </w:t>
            </w:r>
            <w:r w:rsidRPr="00E45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, 0.0027 </w:t>
            </w:r>
            <w:r w:rsidRPr="00E45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KCl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,вес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пакета 14.49 - 16.01 г   время растворения -не более 5 минут. </w:t>
            </w:r>
            <w:r w:rsidRPr="00255C81">
              <w:rPr>
                <w:rFonts w:ascii="Times New Roman" w:hAnsi="Times New Roman" w:cs="Times New Roman"/>
                <w:sz w:val="24"/>
                <w:szCs w:val="24"/>
              </w:rPr>
              <w:t xml:space="preserve">Для приготовления 18 литров </w:t>
            </w:r>
            <w:proofErr w:type="spellStart"/>
            <w:r w:rsidRPr="00255C81">
              <w:rPr>
                <w:rFonts w:ascii="Times New Roman" w:hAnsi="Times New Roman" w:cs="Times New Roman"/>
                <w:sz w:val="24"/>
                <w:szCs w:val="24"/>
              </w:rPr>
              <w:t>ресуспензирующего</w:t>
            </w:r>
            <w:proofErr w:type="spellEnd"/>
            <w:r w:rsidRPr="00255C81">
              <w:rPr>
                <w:rFonts w:ascii="Times New Roman" w:hAnsi="Times New Roman" w:cs="Times New Roman"/>
                <w:sz w:val="24"/>
                <w:szCs w:val="24"/>
              </w:rPr>
              <w:t xml:space="preserve"> раствора.</w:t>
            </w:r>
            <w:r w:rsidRPr="00E450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  <w:p w:rsidR="0097540C" w:rsidRPr="00730AB0" w:rsidRDefault="0097540C" w:rsidP="00F317BB">
            <w:pPr>
              <w:rPr>
                <w:rFonts w:ascii="Times New Roman" w:hAnsi="Times New Roman" w:cs="Times New Roman"/>
              </w:rPr>
            </w:pP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годности  не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Наконечники для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аспиратора  одноразовые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для BD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PrepStain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50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Срок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годности  не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Пробирки </w:t>
            </w:r>
            <w:proofErr w:type="spellStart"/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центрифужные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 пластиковые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, объемом 12 мл, служат для процедуры обогащения клетки.,  Размер пробирки -  Высота:  109.4 ± 0.30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внутренний диаметр:  14.4 - 0.15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внешний диаметр:  17.2 ± 0.30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Материал:  полипропилен   объем:  1.25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ml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450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Срок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годности  не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Реагент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уплотняющий  служит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для процедуры обогащения клетки. Это специальным образом подобранная смесь полисахаридов, проходя через которые, образец очищается от слизи, грязи,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дейтрита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. Содержит азид натрия, который может реагировать с медными и свинцовыми трубами, образуя азиды металлов. </w:t>
            </w:r>
            <w:r w:rsidRPr="00E450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годности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Одноразовые наконечники для переноса клеточного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осадка,   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очищенные от любых ДНК,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ДНКаз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рибонуклеаз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.; материал - 100% полипропилен.    </w:t>
            </w:r>
            <w:r w:rsidRPr="00E450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Срок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годности  не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Шприц-пипетки, одноразовые для BD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PrepStain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 w:rsidRPr="00E450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Срок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годности  не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Осадочные камеры для BD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PrepStain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размер полученного с их помощью отпечатка 13 мм. </w:t>
            </w:r>
            <w:r w:rsidRPr="00E450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Срок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годности  не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стекла.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Толщина: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(0.93 – 1.07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Длина:  (</w:t>
            </w:r>
            <w:proofErr w:type="gram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74.7 – 76.5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Ширина: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(24.7– 26.5 </w:t>
            </w:r>
            <w:proofErr w:type="spellStart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). Обеспечивают адгезию клеток к поверхности стекла.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Срок годности 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>1,5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5038">
              <w:rPr>
                <w:rFonts w:ascii="Times New Roman" w:hAnsi="Times New Roman" w:cs="Times New Roman"/>
                <w:sz w:val="24"/>
                <w:szCs w:val="24"/>
              </w:rPr>
              <w:t xml:space="preserve"> Покровные стекла – 24х24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vAlign w:val="center"/>
          </w:tcPr>
          <w:p w:rsidR="0097540C" w:rsidRPr="000315CB" w:rsidRDefault="0097540C" w:rsidP="00F317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3500</w:t>
            </w:r>
          </w:p>
        </w:tc>
        <w:tc>
          <w:tcPr>
            <w:tcW w:w="850" w:type="dxa"/>
            <w:vAlign w:val="center"/>
          </w:tcPr>
          <w:p w:rsidR="0097540C" w:rsidRPr="006B7BCB" w:rsidRDefault="0097540C" w:rsidP="00F31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480</w:t>
            </w:r>
          </w:p>
        </w:tc>
        <w:tc>
          <w:tcPr>
            <w:tcW w:w="851" w:type="dxa"/>
            <w:vAlign w:val="center"/>
          </w:tcPr>
          <w:p w:rsidR="0097540C" w:rsidRPr="00E171A5" w:rsidRDefault="0097540C" w:rsidP="00F317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набор</w:t>
            </w:r>
          </w:p>
        </w:tc>
        <w:tc>
          <w:tcPr>
            <w:tcW w:w="850" w:type="dxa"/>
            <w:vAlign w:val="center"/>
          </w:tcPr>
          <w:p w:rsidR="0097540C" w:rsidRPr="00C86333" w:rsidRDefault="0097540C" w:rsidP="00F317B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1680000</w:t>
            </w:r>
          </w:p>
        </w:tc>
      </w:tr>
      <w:tr w:rsidR="0097540C" w:rsidRPr="00F66FE0" w:rsidTr="000D6392">
        <w:tc>
          <w:tcPr>
            <w:tcW w:w="668" w:type="dxa"/>
            <w:vAlign w:val="center"/>
          </w:tcPr>
          <w:p w:rsidR="0097540C" w:rsidRPr="00F66FE0" w:rsidRDefault="0097540C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2451" w:type="dxa"/>
            <w:vAlign w:val="center"/>
          </w:tcPr>
          <w:p w:rsidR="0097540C" w:rsidRPr="00F66FE0" w:rsidRDefault="0097540C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Щелочной</w:t>
            </w:r>
            <w:r w:rsidR="00E8159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раствор</w:t>
            </w:r>
          </w:p>
        </w:tc>
        <w:tc>
          <w:tcPr>
            <w:tcW w:w="4678" w:type="dxa"/>
            <w:vAlign w:val="center"/>
          </w:tcPr>
          <w:p w:rsidR="00E81593" w:rsidRPr="00974186" w:rsidRDefault="00E81593" w:rsidP="00E8159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b/>
                <w:lang w:val="kk-KZ"/>
              </w:rPr>
            </w:pPr>
            <w:r w:rsidRPr="00974186">
              <w:rPr>
                <w:b/>
              </w:rPr>
              <w:t>Щелочной раствор, 1 литр</w:t>
            </w:r>
            <w:r w:rsidRPr="00974186">
              <w:rPr>
                <w:b/>
                <w:lang w:val="kk-KZ"/>
              </w:rPr>
              <w:t>.</w:t>
            </w:r>
            <w:r w:rsidRPr="00974186">
              <w:rPr>
                <w:b/>
              </w:rPr>
              <w:t xml:space="preserve"> Щелочной очиститель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анализатора</w:t>
            </w:r>
            <w:r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BD </w:t>
            </w:r>
            <w:proofErr w:type="spellStart"/>
            <w:r w:rsidRPr="00E450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PrepStain</w:t>
            </w:r>
            <w:proofErr w:type="spellEnd"/>
            <w:r w:rsidRPr="00974186">
              <w:rPr>
                <w:b/>
              </w:rPr>
              <w:t xml:space="preserve">. Состоит: 1 флакона 1 литр водного раствора гидроксида К </w:t>
            </w:r>
            <w:proofErr w:type="gramStart"/>
            <w:r w:rsidRPr="00974186">
              <w:rPr>
                <w:b/>
              </w:rPr>
              <w:t>(&lt; 3</w:t>
            </w:r>
            <w:proofErr w:type="gramEnd"/>
            <w:r w:rsidRPr="00974186">
              <w:rPr>
                <w:b/>
              </w:rPr>
              <w:t xml:space="preserve">%) анионные и </w:t>
            </w:r>
            <w:proofErr w:type="spellStart"/>
            <w:r w:rsidRPr="00974186">
              <w:rPr>
                <w:b/>
              </w:rPr>
              <w:t>неионные</w:t>
            </w:r>
            <w:proofErr w:type="spellEnd"/>
            <w:r w:rsidRPr="00974186">
              <w:rPr>
                <w:b/>
              </w:rPr>
              <w:t xml:space="preserve"> </w:t>
            </w:r>
            <w:proofErr w:type="spellStart"/>
            <w:r w:rsidRPr="00974186">
              <w:rPr>
                <w:b/>
              </w:rPr>
              <w:t>сурфактанты</w:t>
            </w:r>
            <w:proofErr w:type="spellEnd"/>
            <w:r w:rsidRPr="00974186">
              <w:rPr>
                <w:b/>
              </w:rPr>
              <w:t>.</w:t>
            </w:r>
          </w:p>
          <w:p w:rsidR="0097540C" w:rsidRPr="00E81593" w:rsidRDefault="0097540C" w:rsidP="00AB7038">
            <w:pPr>
              <w:jc w:val="center"/>
              <w:rPr>
                <w:rFonts w:ascii="Times New Roman" w:hAnsi="Times New Roman" w:cs="Times New Roman"/>
                <w:b/>
                <w:spacing w:val="2"/>
                <w:lang w:val="kk-KZ"/>
              </w:rPr>
            </w:pPr>
          </w:p>
        </w:tc>
        <w:tc>
          <w:tcPr>
            <w:tcW w:w="851" w:type="dxa"/>
            <w:vAlign w:val="center"/>
          </w:tcPr>
          <w:p w:rsidR="0097540C" w:rsidRPr="00F66FE0" w:rsidRDefault="0097540C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70000</w:t>
            </w:r>
          </w:p>
        </w:tc>
        <w:tc>
          <w:tcPr>
            <w:tcW w:w="850" w:type="dxa"/>
            <w:vAlign w:val="center"/>
          </w:tcPr>
          <w:p w:rsidR="0097540C" w:rsidRPr="00F66FE0" w:rsidRDefault="0097540C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  <w:vAlign w:val="center"/>
          </w:tcPr>
          <w:p w:rsidR="0097540C" w:rsidRPr="00F66FE0" w:rsidRDefault="0097540C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</w:t>
            </w:r>
          </w:p>
        </w:tc>
        <w:tc>
          <w:tcPr>
            <w:tcW w:w="850" w:type="dxa"/>
            <w:vAlign w:val="center"/>
          </w:tcPr>
          <w:p w:rsidR="0097540C" w:rsidRPr="00F66FE0" w:rsidRDefault="0097540C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70000</w:t>
            </w:r>
          </w:p>
        </w:tc>
      </w:tr>
    </w:tbl>
    <w:p w:rsidR="0031163A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только одно ценовое предложение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запечатанном виде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E1D" w:rsidRPr="001A6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1163A" w:rsidRDefault="0031163A" w:rsidP="001A6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>
        <w:rPr>
          <w:color w:val="000000"/>
        </w:rPr>
        <w:t>.</w:t>
      </w:r>
    </w:p>
    <w:p w:rsidR="0031163A" w:rsidRPr="00E753D6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B87CE4" w:rsidRDefault="00B87CE4" w:rsidP="00B87CE4">
      <w:pPr>
        <w:spacing w:after="0"/>
        <w:jc w:val="center"/>
        <w:rPr>
          <w:rFonts w:ascii="Times New Roman" w:hAnsi="Times New Roman" w:cs="Times New Roman"/>
          <w:b/>
        </w:rPr>
      </w:pPr>
      <w:r w:rsidRPr="009B53B2">
        <w:rPr>
          <w:rFonts w:ascii="Times New Roman" w:hAnsi="Times New Roman" w:cs="Times New Roman"/>
          <w:b/>
        </w:rPr>
        <w:t>К сведению потенциальных поставщиков!</w:t>
      </w:r>
    </w:p>
    <w:p w:rsidR="00B87CE4" w:rsidRPr="009B53B2" w:rsidRDefault="00B87CE4" w:rsidP="00B87CE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Необходима адаптация реагентов сертифицированным инженером, имеющего допуск к вышеуказанным оборудованиям для оказания сопутствующих услуг (сервисного обслуживания оборудования).</w:t>
      </w:r>
    </w:p>
    <w:p w:rsidR="008073FA" w:rsidRDefault="008073FA" w:rsidP="005E2E1C">
      <w:pPr>
        <w:ind w:firstLine="400"/>
        <w:jc w:val="both"/>
      </w:pPr>
    </w:p>
    <w:p w:rsidR="00B87CE4" w:rsidRPr="00B87CE4" w:rsidRDefault="00B87CE4" w:rsidP="005E2E1C">
      <w:pPr>
        <w:ind w:firstLine="400"/>
        <w:jc w:val="both"/>
      </w:pPr>
    </w:p>
    <w:p w:rsidR="001A6DDE" w:rsidRPr="001A6DDE" w:rsidRDefault="008073FA" w:rsidP="005E2E1C">
      <w:pPr>
        <w:ind w:firstLine="400"/>
        <w:jc w:val="both"/>
        <w:rPr>
          <w:rFonts w:ascii="Times New Roman" w:hAnsi="Times New Roman" w:cs="Times New Roman"/>
          <w:b/>
        </w:rPr>
      </w:pPr>
      <w:r w:rsidRPr="004539C0">
        <w:rPr>
          <w:rFonts w:ascii="Times New Roman" w:hAnsi="Times New Roman" w:cs="Times New Roman"/>
          <w:b/>
        </w:rPr>
        <w:t xml:space="preserve">     </w:t>
      </w:r>
      <w:r w:rsidR="00345186">
        <w:rPr>
          <w:rFonts w:ascii="Times New Roman" w:hAnsi="Times New Roman" w:cs="Times New Roman"/>
          <w:b/>
        </w:rPr>
        <w:t xml:space="preserve">Директор    </w:t>
      </w:r>
      <w:r w:rsidR="001A6DDE" w:rsidRPr="001A6DDE">
        <w:rPr>
          <w:rFonts w:ascii="Times New Roman" w:hAnsi="Times New Roman" w:cs="Times New Roman"/>
          <w:b/>
        </w:rPr>
        <w:t xml:space="preserve">                                       </w:t>
      </w:r>
      <w:r>
        <w:rPr>
          <w:rFonts w:ascii="Times New Roman" w:hAnsi="Times New Roman" w:cs="Times New Roman"/>
          <w:b/>
          <w:lang w:val="en-US"/>
        </w:rPr>
        <w:t xml:space="preserve">                                     </w:t>
      </w:r>
      <w:r w:rsidR="00345186">
        <w:rPr>
          <w:rFonts w:ascii="Times New Roman" w:hAnsi="Times New Roman" w:cs="Times New Roman"/>
          <w:b/>
          <w:lang w:val="en-US"/>
        </w:rPr>
        <w:t xml:space="preserve">                             </w:t>
      </w:r>
      <w:r w:rsidR="001A6DDE" w:rsidRPr="001A6DDE">
        <w:rPr>
          <w:rFonts w:ascii="Times New Roman" w:hAnsi="Times New Roman" w:cs="Times New Roman"/>
          <w:b/>
        </w:rPr>
        <w:t>Ахметова Э.А.</w:t>
      </w:r>
    </w:p>
    <w:sectPr w:rsidR="001A6DDE" w:rsidRPr="001A6DDE" w:rsidSect="008D699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07EDF"/>
    <w:rsid w:val="0001496A"/>
    <w:rsid w:val="00015B37"/>
    <w:rsid w:val="00034DFC"/>
    <w:rsid w:val="00086576"/>
    <w:rsid w:val="000A0585"/>
    <w:rsid w:val="000C5D97"/>
    <w:rsid w:val="000D30C8"/>
    <w:rsid w:val="000D6392"/>
    <w:rsid w:val="000E7DC6"/>
    <w:rsid w:val="001155BB"/>
    <w:rsid w:val="00122B6E"/>
    <w:rsid w:val="0015005D"/>
    <w:rsid w:val="00197E8F"/>
    <w:rsid w:val="001A6DDE"/>
    <w:rsid w:val="001B268A"/>
    <w:rsid w:val="001C6541"/>
    <w:rsid w:val="001E1D4F"/>
    <w:rsid w:val="001E2AE1"/>
    <w:rsid w:val="001F600A"/>
    <w:rsid w:val="001F68F9"/>
    <w:rsid w:val="00201663"/>
    <w:rsid w:val="002427DF"/>
    <w:rsid w:val="0027427F"/>
    <w:rsid w:val="002A242C"/>
    <w:rsid w:val="00303BB9"/>
    <w:rsid w:val="0031163A"/>
    <w:rsid w:val="0031628F"/>
    <w:rsid w:val="00345186"/>
    <w:rsid w:val="00353531"/>
    <w:rsid w:val="003621F0"/>
    <w:rsid w:val="00397B34"/>
    <w:rsid w:val="00412694"/>
    <w:rsid w:val="004319B1"/>
    <w:rsid w:val="00431EBC"/>
    <w:rsid w:val="00452180"/>
    <w:rsid w:val="004539C0"/>
    <w:rsid w:val="00477371"/>
    <w:rsid w:val="004D6C83"/>
    <w:rsid w:val="005117D5"/>
    <w:rsid w:val="0052142E"/>
    <w:rsid w:val="00555121"/>
    <w:rsid w:val="00571730"/>
    <w:rsid w:val="005A1AEC"/>
    <w:rsid w:val="005A3AA6"/>
    <w:rsid w:val="005D6C5D"/>
    <w:rsid w:val="005E2E1C"/>
    <w:rsid w:val="00600106"/>
    <w:rsid w:val="006B7BCB"/>
    <w:rsid w:val="006E712D"/>
    <w:rsid w:val="006E7ABC"/>
    <w:rsid w:val="00730AB0"/>
    <w:rsid w:val="00732739"/>
    <w:rsid w:val="007600A7"/>
    <w:rsid w:val="007B6855"/>
    <w:rsid w:val="007D2604"/>
    <w:rsid w:val="007E741C"/>
    <w:rsid w:val="007F0220"/>
    <w:rsid w:val="007F40D8"/>
    <w:rsid w:val="00804AF0"/>
    <w:rsid w:val="008073FA"/>
    <w:rsid w:val="00857CAC"/>
    <w:rsid w:val="0087286B"/>
    <w:rsid w:val="00885F4B"/>
    <w:rsid w:val="008D6997"/>
    <w:rsid w:val="008E6435"/>
    <w:rsid w:val="0095031F"/>
    <w:rsid w:val="00954C83"/>
    <w:rsid w:val="0097540C"/>
    <w:rsid w:val="00975ED3"/>
    <w:rsid w:val="009B2E2A"/>
    <w:rsid w:val="009D014E"/>
    <w:rsid w:val="009D3629"/>
    <w:rsid w:val="009F7D18"/>
    <w:rsid w:val="00A235E8"/>
    <w:rsid w:val="00A57C54"/>
    <w:rsid w:val="00A603C1"/>
    <w:rsid w:val="00A87C63"/>
    <w:rsid w:val="00AA1998"/>
    <w:rsid w:val="00AC1311"/>
    <w:rsid w:val="00AD74D6"/>
    <w:rsid w:val="00AE77B7"/>
    <w:rsid w:val="00B05F48"/>
    <w:rsid w:val="00B20F89"/>
    <w:rsid w:val="00B87CE4"/>
    <w:rsid w:val="00BB4A56"/>
    <w:rsid w:val="00BC5A23"/>
    <w:rsid w:val="00BE35F6"/>
    <w:rsid w:val="00BF727D"/>
    <w:rsid w:val="00C118C1"/>
    <w:rsid w:val="00C120F0"/>
    <w:rsid w:val="00C13033"/>
    <w:rsid w:val="00C205ED"/>
    <w:rsid w:val="00C66F93"/>
    <w:rsid w:val="00C86333"/>
    <w:rsid w:val="00CD2D60"/>
    <w:rsid w:val="00CF2C3E"/>
    <w:rsid w:val="00D04C24"/>
    <w:rsid w:val="00D1165E"/>
    <w:rsid w:val="00D66C62"/>
    <w:rsid w:val="00DD20FA"/>
    <w:rsid w:val="00DF41BD"/>
    <w:rsid w:val="00E34A9E"/>
    <w:rsid w:val="00E73CA9"/>
    <w:rsid w:val="00E81593"/>
    <w:rsid w:val="00EE4FC4"/>
    <w:rsid w:val="00EE78F4"/>
    <w:rsid w:val="00EF1DFE"/>
    <w:rsid w:val="00F04D41"/>
    <w:rsid w:val="00F12FC1"/>
    <w:rsid w:val="00F26118"/>
    <w:rsid w:val="00F34733"/>
    <w:rsid w:val="00F52E0D"/>
    <w:rsid w:val="00F66FE0"/>
    <w:rsid w:val="00F8219F"/>
    <w:rsid w:val="00FB3E1D"/>
    <w:rsid w:val="00FC16AF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0E128-2C6D-4D99-8CBB-D2996B7C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szakup_amkb@mail.ru" TargetMode="Externa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4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33</cp:revision>
  <cp:lastPrinted>2021-02-19T05:49:00Z</cp:lastPrinted>
  <dcterms:created xsi:type="dcterms:W3CDTF">2021-01-06T09:01:00Z</dcterms:created>
  <dcterms:modified xsi:type="dcterms:W3CDTF">2021-02-19T05:51:00Z</dcterms:modified>
</cp:coreProperties>
</file>