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6C5967">
        <w:rPr>
          <w:rFonts w:ascii="Times New Roman" w:hAnsi="Times New Roman"/>
          <w:b/>
          <w:sz w:val="20"/>
          <w:szCs w:val="20"/>
        </w:rPr>
        <w:t>35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1062C2" w:rsidRPr="00BF3118">
        <w:rPr>
          <w:rFonts w:ascii="Times New Roman" w:hAnsi="Times New Roman"/>
          <w:b/>
          <w:sz w:val="20"/>
          <w:szCs w:val="20"/>
        </w:rPr>
        <w:t>от "</w:t>
      </w:r>
      <w:r w:rsidR="009D265C">
        <w:rPr>
          <w:rFonts w:ascii="Times New Roman" w:hAnsi="Times New Roman"/>
          <w:b/>
          <w:sz w:val="20"/>
          <w:szCs w:val="20"/>
        </w:rPr>
        <w:t>11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"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9D265C" w:rsidRPr="009D265C">
        <w:rPr>
          <w:color w:val="FF0000"/>
          <w:sz w:val="20"/>
          <w:lang w:val="kk-KZ"/>
        </w:rPr>
        <w:t>изделий медицинского назначения</w:t>
      </w:r>
      <w:r w:rsidR="009C50D5">
        <w:rPr>
          <w:color w:val="FF0000"/>
          <w:sz w:val="20"/>
          <w:lang w:val="kk-KZ"/>
        </w:rPr>
        <w:t xml:space="preserve"> 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061213" w:rsidRPr="00061213">
        <w:rPr>
          <w:color w:val="FF0000"/>
          <w:lang w:val="kk-KZ"/>
        </w:rPr>
        <w:t>изделий медицинского назначения</w:t>
      </w:r>
      <w:r w:rsidR="009C50D5">
        <w:rPr>
          <w:color w:val="FF0000"/>
          <w:lang w:val="kk-KZ"/>
        </w:rPr>
        <w:t xml:space="preserve"> на 2019 год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81083D" w:rsidRDefault="0081083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9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876221">
        <w:rPr>
          <w:b/>
          <w:sz w:val="20"/>
          <w:szCs w:val="20"/>
        </w:rPr>
        <w:t>04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876221">
        <w:rPr>
          <w:b/>
          <w:i/>
          <w:color w:val="FF0000"/>
          <w:sz w:val="20"/>
          <w:szCs w:val="20"/>
          <w:u w:val="single"/>
        </w:rPr>
        <w:t>04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876221" w:rsidRPr="00876221">
        <w:rPr>
          <w:b/>
          <w:color w:val="FF0000"/>
          <w:sz w:val="22"/>
          <w:szCs w:val="22"/>
        </w:rPr>
        <w:t>изделий медицинского назначения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876221">
        <w:rPr>
          <w:b/>
          <w:color w:val="FF0000"/>
          <w:sz w:val="20"/>
          <w:szCs w:val="20"/>
          <w:u w:val="single"/>
        </w:rPr>
        <w:t xml:space="preserve"> час. 00 мин. «04</w:t>
      </w:r>
      <w:r w:rsidR="005F36B1" w:rsidRPr="005F36B1">
        <w:rPr>
          <w:b/>
          <w:color w:val="FF0000"/>
          <w:sz w:val="20"/>
          <w:szCs w:val="20"/>
          <w:u w:val="single"/>
        </w:rPr>
        <w:t>»февраля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876221">
        <w:rPr>
          <w:b/>
          <w:i/>
          <w:color w:val="FF0000"/>
          <w:sz w:val="20"/>
          <w:szCs w:val="20"/>
          <w:u w:val="single"/>
        </w:rPr>
        <w:t>04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876221">
        <w:rPr>
          <w:b/>
          <w:i/>
          <w:color w:val="FF0000"/>
          <w:sz w:val="20"/>
          <w:szCs w:val="20"/>
          <w:u w:val="single"/>
          <w:lang w:val="en-US"/>
        </w:rPr>
        <w:t>0</w:t>
      </w:r>
      <w:r w:rsidR="00876221">
        <w:rPr>
          <w:b/>
          <w:i/>
          <w:color w:val="FF0000"/>
          <w:sz w:val="20"/>
          <w:szCs w:val="20"/>
          <w:u w:val="single"/>
        </w:rPr>
        <w:t>4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»февраля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79" w:name="z296"/>
      <w:bookmarkEnd w:id="79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0" w:name="z297"/>
      <w:bookmarkEnd w:id="80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1" w:name="z298"/>
      <w:bookmarkEnd w:id="81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2" w:name="z299"/>
      <w:bookmarkEnd w:id="82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3" w:name="z300"/>
      <w:bookmarkEnd w:id="8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4" w:name="z301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5" w:name="z302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6" w:name="z303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7" w:name="z304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8" w:name="z305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89" w:name="z306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0" w:name="z307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1" w:name="z308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2" w:name="z309"/>
      <w:bookmarkEnd w:id="9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3" w:name="z310"/>
      <w:bookmarkEnd w:id="9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4" w:name="z311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5" w:name="z312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6" w:name="z313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0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7" w:name="z314"/>
      <w:bookmarkEnd w:id="97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8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99" w:name="z359"/>
      <w:bookmarkEnd w:id="98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0" w:name="z360"/>
      <w:bookmarkEnd w:id="99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1" w:name="z361"/>
      <w:bookmarkEnd w:id="100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2" w:name="z362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3" w:name="z363"/>
      <w:bookmarkEnd w:id="102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4" w:name="z364"/>
      <w:bookmarkEnd w:id="103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5" w:name="z365"/>
      <w:bookmarkEnd w:id="104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6" w:name="z366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7" w:name="z367"/>
      <w:bookmarkEnd w:id="106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8" w:name="z368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8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09" w:name="z324"/>
      <w:bookmarkEnd w:id="109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0" w:name="z325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1" w:name="z326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2" w:name="z327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3" w:name="z328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4" w:name="z1250"/>
      <w:bookmarkEnd w:id="114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headerReference w:type="default" r:id="rId11"/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1"/>
        <w:gridCol w:w="142"/>
        <w:gridCol w:w="708"/>
        <w:gridCol w:w="195"/>
        <w:gridCol w:w="1223"/>
        <w:gridCol w:w="42"/>
        <w:gridCol w:w="1659"/>
        <w:gridCol w:w="282"/>
        <w:gridCol w:w="1419"/>
        <w:gridCol w:w="775"/>
        <w:gridCol w:w="359"/>
        <w:gridCol w:w="567"/>
        <w:gridCol w:w="992"/>
      </w:tblGrid>
      <w:tr w:rsidR="00F1698D" w:rsidRPr="00307A59" w:rsidTr="00307A59">
        <w:trPr>
          <w:trHeight w:val="375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307A59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07A59">
              <w:rPr>
                <w:bCs/>
                <w:i/>
              </w:rPr>
              <w:lastRenderedPageBreak/>
              <w:t xml:space="preserve">Приложение </w:t>
            </w:r>
            <w:r w:rsidR="002F1856" w:rsidRPr="00307A59">
              <w:rPr>
                <w:bCs/>
                <w:i/>
              </w:rPr>
              <w:t>1</w:t>
            </w:r>
            <w:r w:rsidRPr="00307A59">
              <w:rPr>
                <w:bCs/>
                <w:i/>
              </w:rPr>
              <w:t> </w:t>
            </w:r>
          </w:p>
          <w:p w:rsidR="00C660F2" w:rsidRPr="00307A59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07A59">
              <w:rPr>
                <w:bCs/>
                <w:i/>
              </w:rPr>
              <w:t>к Тендерной документации</w:t>
            </w:r>
          </w:p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 Перечень закупаемых товаров</w:t>
            </w:r>
          </w:p>
        </w:tc>
      </w:tr>
      <w:tr w:rsidR="00F1698D" w:rsidRPr="00307A59" w:rsidTr="00B22D65">
        <w:trPr>
          <w:trHeight w:val="165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307A59" w:rsidRDefault="00F1698D" w:rsidP="00663C40">
            <w:pPr>
              <w:suppressAutoHyphens w:val="0"/>
              <w:rPr>
                <w:b/>
                <w:bCs/>
              </w:rPr>
            </w:pPr>
          </w:p>
        </w:tc>
      </w:tr>
      <w:tr w:rsidR="00F1698D" w:rsidRPr="00307A59" w:rsidTr="00307A59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Наименование товара*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Условия поставк</w:t>
            </w:r>
            <w:r w:rsidR="005A155F" w:rsidRPr="00307A59">
              <w:rPr>
                <w:b/>
                <w:bCs/>
              </w:rPr>
              <w:t xml:space="preserve">и (в </w:t>
            </w:r>
            <w:proofErr w:type="spellStart"/>
            <w:r w:rsidR="005A155F" w:rsidRPr="00307A59">
              <w:rPr>
                <w:b/>
                <w:bCs/>
              </w:rPr>
              <w:t>соответсвии</w:t>
            </w:r>
            <w:proofErr w:type="spellEnd"/>
            <w:r w:rsidR="005A155F" w:rsidRPr="00307A59">
              <w:rPr>
                <w:b/>
                <w:bCs/>
              </w:rPr>
              <w:t xml:space="preserve"> с </w:t>
            </w:r>
            <w:proofErr w:type="spellStart"/>
            <w:r w:rsidR="005A155F" w:rsidRPr="00307A59">
              <w:rPr>
                <w:b/>
                <w:bCs/>
              </w:rPr>
              <w:t>Инкотермс</w:t>
            </w:r>
            <w:proofErr w:type="spellEnd"/>
            <w:r w:rsidR="005A155F" w:rsidRPr="00307A59">
              <w:rPr>
                <w:b/>
                <w:bCs/>
              </w:rPr>
              <w:t xml:space="preserve"> 201</w:t>
            </w:r>
            <w:r w:rsidRPr="00307A59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307A59">
              <w:rPr>
                <w:b/>
                <w:bCs/>
              </w:rPr>
              <w:t>в</w:t>
            </w:r>
            <w:proofErr w:type="gramEnd"/>
            <w:r w:rsidRPr="00307A59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 xml:space="preserve">Сумма, выделенная для </w:t>
            </w:r>
            <w:r w:rsidR="0089062A" w:rsidRPr="00307A59">
              <w:rPr>
                <w:b/>
                <w:bCs/>
              </w:rPr>
              <w:t>закупа</w:t>
            </w:r>
            <w:r w:rsidRPr="00307A59">
              <w:rPr>
                <w:b/>
                <w:bCs/>
              </w:rPr>
              <w:t xml:space="preserve"> способом </w:t>
            </w:r>
            <w:r w:rsidR="0021671E" w:rsidRPr="00307A59">
              <w:rPr>
                <w:b/>
                <w:bCs/>
              </w:rPr>
              <w:t>тендера</w:t>
            </w:r>
            <w:r w:rsidRPr="00307A59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307A59" w:rsidTr="00307A5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07A59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10</w:t>
            </w:r>
          </w:p>
        </w:tc>
      </w:tr>
      <w:tr w:rsidR="00FD40AA" w:rsidRPr="00307A59" w:rsidTr="00307A5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E20B39" w:rsidP="00F1698D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FD40AA" w:rsidRPr="00307A59" w:rsidRDefault="00FD40AA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>Марля медицинская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AA" w:rsidRPr="00307A59" w:rsidRDefault="00FD40AA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метр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0AA" w:rsidRPr="00307A59" w:rsidRDefault="00FD40AA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88000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8A3A81">
            <w:pPr>
              <w:jc w:val="center"/>
              <w:rPr>
                <w:lang w:val="en-US"/>
              </w:rPr>
            </w:pPr>
            <w:r w:rsidRPr="00307A59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D02C24">
            <w:pPr>
              <w:suppressAutoHyphens w:val="0"/>
              <w:jc w:val="center"/>
            </w:pPr>
            <w:r w:rsidRPr="00307A59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D02C24">
            <w:pPr>
              <w:jc w:val="center"/>
            </w:pPr>
            <w:r w:rsidRPr="00307A59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D02C24">
            <w:pPr>
              <w:suppressAutoHyphens w:val="0"/>
              <w:jc w:val="center"/>
            </w:pPr>
            <w:r w:rsidRPr="00307A59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0AA" w:rsidRPr="00307A59" w:rsidRDefault="006C2CF2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5 720 000,00</w:t>
            </w:r>
          </w:p>
        </w:tc>
      </w:tr>
      <w:tr w:rsidR="00FD40AA" w:rsidRPr="00307A59" w:rsidTr="00307A5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E20B39" w:rsidP="00F1698D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FD40AA" w:rsidRPr="00307A59" w:rsidRDefault="00FD40AA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 xml:space="preserve">Система для вливания </w:t>
            </w:r>
            <w:proofErr w:type="spellStart"/>
            <w:r w:rsidRPr="00307A59">
              <w:rPr>
                <w:color w:val="000000"/>
              </w:rPr>
              <w:t>инфузионных</w:t>
            </w:r>
            <w:proofErr w:type="spellEnd"/>
            <w:r w:rsidRPr="00307A59">
              <w:rPr>
                <w:color w:val="000000"/>
              </w:rPr>
              <w:t xml:space="preserve"> растворов с иглой 21G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AA" w:rsidRPr="00307A59" w:rsidRDefault="00FD40AA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0AA" w:rsidRPr="00307A59" w:rsidRDefault="00FD40AA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110000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8A3A81">
            <w:pPr>
              <w:jc w:val="center"/>
              <w:rPr>
                <w:lang w:val="en-US"/>
              </w:rPr>
            </w:pPr>
            <w:r w:rsidRPr="00307A59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D02C24">
            <w:pPr>
              <w:suppressAutoHyphens w:val="0"/>
              <w:jc w:val="center"/>
            </w:pPr>
            <w:r w:rsidRPr="00307A59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D02C24">
            <w:pPr>
              <w:jc w:val="center"/>
            </w:pPr>
            <w:r w:rsidRPr="00307A59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FD40AA" w:rsidP="00D02C24">
            <w:pPr>
              <w:suppressAutoHyphens w:val="0"/>
              <w:jc w:val="center"/>
            </w:pPr>
            <w:r w:rsidRPr="00307A59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0AA" w:rsidRPr="00307A59" w:rsidRDefault="009178F9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4 950 000,00</w:t>
            </w:r>
          </w:p>
        </w:tc>
      </w:tr>
      <w:tr w:rsidR="00B22D65" w:rsidRPr="00307A59" w:rsidTr="00B22D6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E20B39" w:rsidP="00F1698D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22D65" w:rsidRPr="00307A59" w:rsidRDefault="00B22D65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B22D65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>Система для переливания крови и кровезаменителей с иглой 18G (23G)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65" w:rsidRPr="00307A59" w:rsidRDefault="00B22D65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65" w:rsidRPr="00307A59" w:rsidRDefault="00B22D65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307A59">
            <w:pPr>
              <w:jc w:val="center"/>
            </w:pPr>
            <w:r w:rsidRPr="00506B4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D0241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9678E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090656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D65" w:rsidRPr="00307A59" w:rsidRDefault="009178F9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220 000,00</w:t>
            </w:r>
          </w:p>
        </w:tc>
      </w:tr>
      <w:tr w:rsidR="00B22D65" w:rsidRPr="00307A59" w:rsidTr="00B22D6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E20B39" w:rsidP="00F1698D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22D65" w:rsidRPr="00307A59" w:rsidRDefault="00B22D65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B22D65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>Шприц инъекционный 5 мл</w:t>
            </w:r>
            <w:proofErr w:type="gramStart"/>
            <w:r w:rsidRPr="00307A59">
              <w:rPr>
                <w:color w:val="000000"/>
              </w:rPr>
              <w:t>.</w:t>
            </w:r>
            <w:proofErr w:type="gramEnd"/>
            <w:r w:rsidRPr="00307A59">
              <w:rPr>
                <w:color w:val="000000"/>
              </w:rPr>
              <w:t xml:space="preserve"> </w:t>
            </w:r>
            <w:proofErr w:type="gramStart"/>
            <w:r w:rsidRPr="00307A59">
              <w:rPr>
                <w:color w:val="000000"/>
              </w:rPr>
              <w:t>с</w:t>
            </w:r>
            <w:proofErr w:type="gramEnd"/>
            <w:r w:rsidRPr="00307A59">
              <w:rPr>
                <w:color w:val="000000"/>
              </w:rPr>
              <w:t xml:space="preserve"> иглой 3-х компонентный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65" w:rsidRPr="00307A59" w:rsidRDefault="00B22D65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65" w:rsidRPr="00307A59" w:rsidRDefault="00B22D65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260000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307A59">
            <w:pPr>
              <w:jc w:val="center"/>
            </w:pPr>
            <w:r w:rsidRPr="00506B4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D0241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9678E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090656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D65" w:rsidRPr="00307A59" w:rsidRDefault="000C51E3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3 351 400</w:t>
            </w:r>
          </w:p>
        </w:tc>
      </w:tr>
      <w:tr w:rsidR="00B22D65" w:rsidRPr="00307A59" w:rsidTr="00B22D6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E20B39" w:rsidP="00F1698D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22D65" w:rsidRPr="00307A59" w:rsidRDefault="00B22D65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B22D65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>Шприц инъекционный 10 мл</w:t>
            </w:r>
            <w:proofErr w:type="gramStart"/>
            <w:r w:rsidRPr="00307A59">
              <w:rPr>
                <w:color w:val="000000"/>
              </w:rPr>
              <w:t>.</w:t>
            </w:r>
            <w:proofErr w:type="gramEnd"/>
            <w:r w:rsidRPr="00307A59">
              <w:rPr>
                <w:color w:val="000000"/>
              </w:rPr>
              <w:t xml:space="preserve"> </w:t>
            </w:r>
            <w:proofErr w:type="gramStart"/>
            <w:r w:rsidRPr="00307A59">
              <w:rPr>
                <w:color w:val="000000"/>
              </w:rPr>
              <w:t>с</w:t>
            </w:r>
            <w:proofErr w:type="gramEnd"/>
            <w:r w:rsidRPr="00307A59">
              <w:rPr>
                <w:color w:val="000000"/>
              </w:rPr>
              <w:t xml:space="preserve"> иглой 3-х компонентный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65" w:rsidRPr="00307A59" w:rsidRDefault="00B22D65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65" w:rsidRPr="00307A59" w:rsidRDefault="00B22D65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120000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307A59">
            <w:pPr>
              <w:jc w:val="center"/>
            </w:pPr>
            <w:r w:rsidRPr="00506B4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D0241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9678E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090656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D65" w:rsidRPr="00307A59" w:rsidRDefault="000C51E3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2 328 000,00</w:t>
            </w:r>
          </w:p>
        </w:tc>
      </w:tr>
      <w:tr w:rsidR="00B22D65" w:rsidRPr="00307A59" w:rsidTr="00B22D6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E20B39" w:rsidP="00F1698D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22D65" w:rsidRPr="00307A59" w:rsidRDefault="00B22D65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B22D65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>Шприц инъекционный 20 мл</w:t>
            </w:r>
            <w:proofErr w:type="gramStart"/>
            <w:r w:rsidRPr="00307A59">
              <w:rPr>
                <w:color w:val="000000"/>
              </w:rPr>
              <w:t>.</w:t>
            </w:r>
            <w:proofErr w:type="gramEnd"/>
            <w:r w:rsidRPr="00307A59">
              <w:rPr>
                <w:color w:val="000000"/>
              </w:rPr>
              <w:t xml:space="preserve"> </w:t>
            </w:r>
            <w:proofErr w:type="gramStart"/>
            <w:r w:rsidRPr="00307A59">
              <w:rPr>
                <w:color w:val="000000"/>
              </w:rPr>
              <w:t>с</w:t>
            </w:r>
            <w:proofErr w:type="gramEnd"/>
            <w:r w:rsidRPr="00307A59">
              <w:rPr>
                <w:color w:val="000000"/>
              </w:rPr>
              <w:t xml:space="preserve"> иглой 3-х компонентный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65" w:rsidRPr="00307A59" w:rsidRDefault="00B22D65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65" w:rsidRPr="00307A59" w:rsidRDefault="00B22D65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36000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307A59">
            <w:pPr>
              <w:jc w:val="center"/>
            </w:pPr>
            <w:r w:rsidRPr="00506B4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D0241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9678E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090656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D65" w:rsidRPr="00307A59" w:rsidRDefault="00F83423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987 480,00</w:t>
            </w:r>
          </w:p>
        </w:tc>
      </w:tr>
      <w:tr w:rsidR="00B22D65" w:rsidRPr="00307A59" w:rsidTr="00B22D6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E20B39" w:rsidP="00F1698D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22D65" w:rsidRPr="00307A59" w:rsidRDefault="00B22D65" w:rsidP="00821C87">
            <w:pPr>
              <w:jc w:val="center"/>
            </w:pPr>
            <w:r w:rsidRPr="00307A59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Pr="00307A59" w:rsidRDefault="00B22D65" w:rsidP="00F82695">
            <w:pPr>
              <w:rPr>
                <w:color w:val="000000"/>
              </w:rPr>
            </w:pPr>
            <w:r w:rsidRPr="00307A59">
              <w:rPr>
                <w:color w:val="000000"/>
              </w:rPr>
              <w:t>Шприц инъекционный 50 мл</w:t>
            </w:r>
            <w:proofErr w:type="gramStart"/>
            <w:r w:rsidRPr="00307A59">
              <w:rPr>
                <w:color w:val="000000"/>
              </w:rPr>
              <w:t>.</w:t>
            </w:r>
            <w:proofErr w:type="gramEnd"/>
            <w:r w:rsidRPr="00307A59">
              <w:rPr>
                <w:color w:val="000000"/>
              </w:rPr>
              <w:t xml:space="preserve"> </w:t>
            </w:r>
            <w:proofErr w:type="gramStart"/>
            <w:r w:rsidRPr="00307A59">
              <w:rPr>
                <w:color w:val="000000"/>
              </w:rPr>
              <w:t>с</w:t>
            </w:r>
            <w:proofErr w:type="gramEnd"/>
            <w:r w:rsidRPr="00307A59">
              <w:rPr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65" w:rsidRPr="00307A59" w:rsidRDefault="00B22D65" w:rsidP="00D02C24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штука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65" w:rsidRPr="00307A59" w:rsidRDefault="00B22D65" w:rsidP="00F82695">
            <w:pPr>
              <w:jc w:val="center"/>
              <w:rPr>
                <w:color w:val="000000"/>
              </w:rPr>
            </w:pPr>
            <w:r w:rsidRPr="00307A59">
              <w:rPr>
                <w:color w:val="000000"/>
              </w:rPr>
              <w:t>14000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307A59">
            <w:pPr>
              <w:jc w:val="center"/>
            </w:pPr>
            <w:r w:rsidRPr="00506B4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D0241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9678E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D65" w:rsidRDefault="00B22D65" w:rsidP="00B22D65">
            <w:pPr>
              <w:jc w:val="center"/>
            </w:pPr>
            <w:r w:rsidRPr="00090656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D65" w:rsidRPr="00307A59" w:rsidRDefault="00F83423" w:rsidP="00F1698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939 680</w:t>
            </w:r>
          </w:p>
        </w:tc>
      </w:tr>
      <w:tr w:rsidR="00FD40AA" w:rsidRPr="00307A59" w:rsidTr="00307A5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  <w:rPr>
                <w:b/>
                <w:bCs/>
              </w:rPr>
            </w:pPr>
            <w:r w:rsidRPr="00307A59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</w:pPr>
            <w:r w:rsidRPr="00307A5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0AA" w:rsidRPr="00307A59" w:rsidRDefault="00E20B39" w:rsidP="00F1698D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18 496 560</w:t>
            </w:r>
          </w:p>
        </w:tc>
      </w:tr>
      <w:tr w:rsidR="00FD40AA" w:rsidRPr="00307A59" w:rsidTr="00307A59">
        <w:trPr>
          <w:trHeight w:val="390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rPr>
                <w:b/>
                <w:bCs/>
                <w:i/>
                <w:iCs/>
              </w:rPr>
            </w:pPr>
          </w:p>
          <w:p w:rsidR="00FD40AA" w:rsidRPr="00307A59" w:rsidRDefault="00FD40AA" w:rsidP="00F1698D">
            <w:pPr>
              <w:suppressAutoHyphens w:val="0"/>
              <w:rPr>
                <w:b/>
                <w:bCs/>
                <w:i/>
                <w:iCs/>
              </w:rPr>
            </w:pPr>
            <w:r w:rsidRPr="00307A59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FD40AA" w:rsidRPr="00307A59" w:rsidTr="00307A59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40AA" w:rsidRPr="00307A59" w:rsidRDefault="00FD40AA" w:rsidP="00B22D65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</w:pPr>
            <w:r w:rsidRPr="00307A59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center"/>
            </w:pPr>
            <w:r w:rsidRPr="00307A5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jc w:val="right"/>
              <w:rPr>
                <w:b/>
                <w:bCs/>
              </w:rPr>
            </w:pPr>
            <w:r w:rsidRPr="00307A59">
              <w:rPr>
                <w:b/>
                <w:bCs/>
              </w:rPr>
              <w:t> </w:t>
            </w:r>
          </w:p>
        </w:tc>
      </w:tr>
      <w:tr w:rsidR="00FD40AA" w:rsidRPr="00307A59" w:rsidTr="00307A59">
        <w:trPr>
          <w:trHeight w:val="375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0AA" w:rsidRPr="00307A59" w:rsidRDefault="00FD40AA" w:rsidP="00F1698D">
            <w:pPr>
              <w:suppressAutoHyphens w:val="0"/>
              <w:rPr>
                <w:b/>
                <w:bCs/>
              </w:rPr>
            </w:pPr>
            <w:r w:rsidRPr="00307A59">
              <w:rPr>
                <w:b/>
                <w:bCs/>
              </w:rPr>
              <w:t xml:space="preserve">Организатор и Заказчик: Директор ГКП на ПХВ «АМКБ» _________________ </w:t>
            </w:r>
            <w:proofErr w:type="spellStart"/>
            <w:r w:rsidRPr="00307A59">
              <w:rPr>
                <w:b/>
                <w:bCs/>
              </w:rPr>
              <w:t>Молдакулов</w:t>
            </w:r>
            <w:proofErr w:type="spellEnd"/>
            <w:r w:rsidRPr="00307A59">
              <w:rPr>
                <w:b/>
                <w:bCs/>
              </w:rPr>
              <w:t xml:space="preserve"> Ж.М.</w:t>
            </w:r>
          </w:p>
          <w:p w:rsidR="00FD40AA" w:rsidRPr="00307A59" w:rsidRDefault="00FD40AA" w:rsidP="00F1698D">
            <w:pPr>
              <w:suppressAutoHyphens w:val="0"/>
              <w:rPr>
                <w:b/>
                <w:bCs/>
              </w:rPr>
            </w:pPr>
            <w:r w:rsidRPr="00307A59">
              <w:rPr>
                <w:b/>
                <w:bCs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B22D65">
          <w:footnotePr>
            <w:pos w:val="beneathText"/>
          </w:footnotePr>
          <w:pgSz w:w="16837" w:h="11905" w:orient="landscape"/>
          <w:pgMar w:top="1134" w:right="851" w:bottom="426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Pr="00327FFE" w:rsidRDefault="00004028" w:rsidP="00004028"/>
    <w:p w:rsidR="00327FFE" w:rsidRPr="00327FFE" w:rsidRDefault="00327FFE" w:rsidP="00327FFE">
      <w:pPr>
        <w:ind w:firstLine="360"/>
        <w:jc w:val="right"/>
        <w:rPr>
          <w:b/>
        </w:rPr>
      </w:pPr>
    </w:p>
    <w:p w:rsidR="00327FFE" w:rsidRPr="00327FFE" w:rsidRDefault="00327FFE" w:rsidP="00327FFE">
      <w:pPr>
        <w:ind w:left="567"/>
        <w:jc w:val="center"/>
        <w:rPr>
          <w:b/>
          <w:bCs/>
        </w:rPr>
      </w:pPr>
      <w:r w:rsidRPr="00327FFE">
        <w:rPr>
          <w:b/>
          <w:bCs/>
        </w:rPr>
        <w:t>ТЕХНИЧЕСКАЯ СПЕЦИФИК</w:t>
      </w:r>
      <w:bookmarkStart w:id="115" w:name="_GoBack"/>
      <w:bookmarkEnd w:id="115"/>
      <w:r w:rsidRPr="00327FFE">
        <w:rPr>
          <w:b/>
          <w:bCs/>
        </w:rPr>
        <w:t>АЦИЯ</w:t>
      </w:r>
    </w:p>
    <w:p w:rsidR="00327FFE" w:rsidRPr="00327FFE" w:rsidRDefault="00327FFE" w:rsidP="00327FFE">
      <w:pPr>
        <w:jc w:val="both"/>
        <w:rPr>
          <w:b/>
        </w:rPr>
      </w:pPr>
    </w:p>
    <w:p w:rsidR="00327FFE" w:rsidRDefault="00327FFE" w:rsidP="00327FFE">
      <w:pPr>
        <w:ind w:left="567"/>
        <w:jc w:val="center"/>
        <w:rPr>
          <w:b/>
          <w:shd w:val="clear" w:color="auto" w:fill="FFFFFF"/>
        </w:rPr>
      </w:pPr>
      <w:r w:rsidRPr="00327FFE">
        <w:rPr>
          <w:b/>
          <w:shd w:val="clear" w:color="auto" w:fill="FFFFFF"/>
        </w:rPr>
        <w:t xml:space="preserve">Лот 1. </w:t>
      </w:r>
      <w:r w:rsidR="002D3072" w:rsidRPr="002D3072">
        <w:rPr>
          <w:b/>
          <w:shd w:val="clear" w:color="auto" w:fill="FFFFFF"/>
        </w:rPr>
        <w:t>Марля медицинская</w:t>
      </w:r>
    </w:p>
    <w:p w:rsidR="00FF481D" w:rsidRPr="00DB2212" w:rsidRDefault="00FF481D" w:rsidP="00FF481D">
      <w:pPr>
        <w:ind w:left="567"/>
        <w:jc w:val="both"/>
        <w:rPr>
          <w:sz w:val="22"/>
          <w:szCs w:val="22"/>
          <w:lang w:val="kk-KZ"/>
        </w:rPr>
      </w:pPr>
      <w:r w:rsidRPr="00DB2212">
        <w:rPr>
          <w:sz w:val="22"/>
          <w:szCs w:val="22"/>
        </w:rPr>
        <w:t>Марля должна соответствовать требованиям ГОСТ9412</w:t>
      </w:r>
    </w:p>
    <w:p w:rsidR="00FF481D" w:rsidRPr="00DB2212" w:rsidRDefault="00FF481D" w:rsidP="00FF481D">
      <w:pPr>
        <w:ind w:left="567"/>
        <w:jc w:val="both"/>
        <w:rPr>
          <w:sz w:val="22"/>
          <w:szCs w:val="22"/>
        </w:rPr>
      </w:pPr>
      <w:r w:rsidRPr="00DB2212">
        <w:rPr>
          <w:sz w:val="22"/>
          <w:szCs w:val="22"/>
          <w:lang w:val="kk-KZ"/>
        </w:rPr>
        <w:t xml:space="preserve">Форма рулон, намотанная на втулку </w:t>
      </w:r>
      <w:r w:rsidRPr="00DB2212">
        <w:rPr>
          <w:sz w:val="22"/>
          <w:szCs w:val="22"/>
        </w:rPr>
        <w:t>без перекосов и свисания кромок;</w:t>
      </w:r>
    </w:p>
    <w:p w:rsidR="00FF481D" w:rsidRPr="00DB2212" w:rsidRDefault="00FF481D" w:rsidP="00FF481D">
      <w:pPr>
        <w:ind w:left="567"/>
        <w:jc w:val="both"/>
        <w:rPr>
          <w:sz w:val="22"/>
          <w:szCs w:val="22"/>
        </w:rPr>
      </w:pPr>
      <w:r w:rsidRPr="00DB2212">
        <w:rPr>
          <w:sz w:val="22"/>
          <w:szCs w:val="22"/>
        </w:rPr>
        <w:t xml:space="preserve">Размер – длина 1000 м, ширина см 90+-15, </w:t>
      </w:r>
    </w:p>
    <w:p w:rsidR="00FF481D" w:rsidRPr="00DB2212" w:rsidRDefault="00FF481D" w:rsidP="00FF481D">
      <w:pPr>
        <w:ind w:left="567"/>
        <w:jc w:val="both"/>
        <w:rPr>
          <w:sz w:val="22"/>
          <w:szCs w:val="22"/>
        </w:rPr>
      </w:pPr>
      <w:r w:rsidRPr="00DB2212">
        <w:rPr>
          <w:sz w:val="22"/>
          <w:szCs w:val="22"/>
        </w:rPr>
        <w:t>Пряжа хлопчатобумажная, поверхностная плотность 3</w:t>
      </w:r>
      <w:r>
        <w:rPr>
          <w:sz w:val="22"/>
          <w:szCs w:val="22"/>
        </w:rPr>
        <w:t>6-2 г/</w:t>
      </w:r>
      <w:r w:rsidRPr="00DB2212">
        <w:rPr>
          <w:sz w:val="22"/>
          <w:szCs w:val="22"/>
        </w:rPr>
        <w:t xml:space="preserve">м кв., </w:t>
      </w:r>
      <w:r>
        <w:rPr>
          <w:sz w:val="22"/>
          <w:szCs w:val="22"/>
        </w:rPr>
        <w:t xml:space="preserve">пряжа основа №54, уток № 54, </w:t>
      </w:r>
      <w:r w:rsidRPr="00DB2212">
        <w:rPr>
          <w:sz w:val="22"/>
          <w:szCs w:val="22"/>
        </w:rPr>
        <w:t>число нитей на 10см, по основе-1</w:t>
      </w:r>
      <w:r>
        <w:rPr>
          <w:sz w:val="22"/>
          <w:szCs w:val="22"/>
        </w:rPr>
        <w:t>1</w:t>
      </w:r>
      <w:r w:rsidRPr="00DB2212">
        <w:rPr>
          <w:sz w:val="22"/>
          <w:szCs w:val="22"/>
        </w:rPr>
        <w:t>8-2,по утку-</w:t>
      </w:r>
      <w:r>
        <w:rPr>
          <w:sz w:val="22"/>
          <w:szCs w:val="22"/>
        </w:rPr>
        <w:t>76</w:t>
      </w:r>
      <w:r w:rsidRPr="00DB2212">
        <w:rPr>
          <w:sz w:val="22"/>
          <w:szCs w:val="22"/>
        </w:rPr>
        <w:t>-3, разрывная нагрузка полоски ткани размером 50</w:t>
      </w:r>
      <w:r>
        <w:rPr>
          <w:sz w:val="22"/>
          <w:szCs w:val="22"/>
        </w:rPr>
        <w:t>/</w:t>
      </w:r>
      <w:r w:rsidRPr="00DB2212">
        <w:rPr>
          <w:sz w:val="22"/>
          <w:szCs w:val="22"/>
        </w:rPr>
        <w:t xml:space="preserve">200мм по основе </w:t>
      </w:r>
      <w:r>
        <w:rPr>
          <w:sz w:val="22"/>
          <w:szCs w:val="22"/>
        </w:rPr>
        <w:t xml:space="preserve">не менее </w:t>
      </w:r>
      <w:r w:rsidRPr="00DB2212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DB2212">
        <w:rPr>
          <w:sz w:val="22"/>
          <w:szCs w:val="22"/>
        </w:rPr>
        <w:t xml:space="preserve">,0 кгс, по утку не менее </w:t>
      </w:r>
      <w:r>
        <w:rPr>
          <w:sz w:val="22"/>
          <w:szCs w:val="22"/>
        </w:rPr>
        <w:t>4</w:t>
      </w:r>
      <w:r w:rsidRPr="00DB2212">
        <w:rPr>
          <w:sz w:val="22"/>
          <w:szCs w:val="22"/>
        </w:rPr>
        <w:t xml:space="preserve">,0 кгс; переплетение - полотняное. </w:t>
      </w:r>
    </w:p>
    <w:p w:rsidR="00FF481D" w:rsidRPr="00DB2212" w:rsidRDefault="00FF481D" w:rsidP="00FF481D">
      <w:pPr>
        <w:ind w:left="567"/>
        <w:jc w:val="both"/>
        <w:rPr>
          <w:sz w:val="22"/>
          <w:szCs w:val="22"/>
        </w:rPr>
      </w:pPr>
      <w:r w:rsidRPr="00DB2212">
        <w:rPr>
          <w:sz w:val="22"/>
          <w:szCs w:val="22"/>
        </w:rPr>
        <w:t>В транспортной упаковке.</w:t>
      </w:r>
    </w:p>
    <w:p w:rsidR="00FF481D" w:rsidRPr="00892EC4" w:rsidRDefault="00FF481D" w:rsidP="00FF481D">
      <w:pPr>
        <w:ind w:left="567"/>
        <w:rPr>
          <w:b/>
          <w:i/>
          <w:sz w:val="22"/>
          <w:szCs w:val="22"/>
          <w:u w:val="single"/>
        </w:rPr>
      </w:pPr>
      <w:r w:rsidRPr="00892EC4">
        <w:rPr>
          <w:b/>
          <w:i/>
          <w:sz w:val="22"/>
          <w:szCs w:val="22"/>
          <w:u w:val="single"/>
        </w:rPr>
        <w:t>Обязательно представление образца 1м для оценки  экспертной комиссии.</w:t>
      </w:r>
    </w:p>
    <w:p w:rsidR="007561BE" w:rsidRPr="00327FFE" w:rsidRDefault="007561BE" w:rsidP="00327FFE">
      <w:pPr>
        <w:ind w:left="567"/>
        <w:jc w:val="center"/>
        <w:rPr>
          <w:shd w:val="clear" w:color="auto" w:fill="FFFFFF"/>
        </w:rPr>
      </w:pPr>
    </w:p>
    <w:p w:rsidR="00327FFE" w:rsidRDefault="00327FFE" w:rsidP="007561BE">
      <w:pPr>
        <w:ind w:left="567"/>
        <w:jc w:val="center"/>
        <w:rPr>
          <w:b/>
          <w:shd w:val="clear" w:color="auto" w:fill="FFFFFF"/>
        </w:rPr>
      </w:pPr>
      <w:r w:rsidRPr="00327FFE">
        <w:rPr>
          <w:b/>
          <w:shd w:val="clear" w:color="auto" w:fill="FFFFFF"/>
        </w:rPr>
        <w:t xml:space="preserve">Лот 2. </w:t>
      </w:r>
      <w:r w:rsidR="002D3072" w:rsidRPr="002D3072">
        <w:rPr>
          <w:b/>
          <w:shd w:val="clear" w:color="auto" w:fill="FFFFFF"/>
        </w:rPr>
        <w:t xml:space="preserve">Система для вливания </w:t>
      </w:r>
      <w:proofErr w:type="spellStart"/>
      <w:r w:rsidR="002D3072" w:rsidRPr="002D3072">
        <w:rPr>
          <w:b/>
          <w:shd w:val="clear" w:color="auto" w:fill="FFFFFF"/>
        </w:rPr>
        <w:t>инфузионных</w:t>
      </w:r>
      <w:proofErr w:type="spellEnd"/>
      <w:r w:rsidR="002D3072" w:rsidRPr="002D3072">
        <w:rPr>
          <w:b/>
          <w:shd w:val="clear" w:color="auto" w:fill="FFFFFF"/>
        </w:rPr>
        <w:t xml:space="preserve"> растворов с иглой 21G</w:t>
      </w:r>
    </w:p>
    <w:p w:rsidR="0017309E" w:rsidRDefault="0017309E" w:rsidP="0017309E">
      <w:pPr>
        <w:ind w:left="567"/>
        <w:jc w:val="both"/>
        <w:rPr>
          <w:sz w:val="22"/>
          <w:szCs w:val="22"/>
          <w:shd w:val="clear" w:color="auto" w:fill="FFFFFF"/>
        </w:rPr>
      </w:pPr>
      <w:r w:rsidRPr="0086450B">
        <w:rPr>
          <w:sz w:val="22"/>
          <w:szCs w:val="22"/>
          <w:shd w:val="clear" w:color="auto" w:fill="FFFFFF"/>
        </w:rPr>
        <w:t xml:space="preserve">Система для вливания </w:t>
      </w:r>
      <w:proofErr w:type="spellStart"/>
      <w:r w:rsidRPr="0086450B">
        <w:rPr>
          <w:sz w:val="22"/>
          <w:szCs w:val="22"/>
          <w:shd w:val="clear" w:color="auto" w:fill="FFFFFF"/>
        </w:rPr>
        <w:t>инфузионных</w:t>
      </w:r>
      <w:proofErr w:type="spellEnd"/>
      <w:r w:rsidRPr="0086450B">
        <w:rPr>
          <w:sz w:val="22"/>
          <w:szCs w:val="22"/>
          <w:shd w:val="clear" w:color="auto" w:fill="FFFFFF"/>
        </w:rPr>
        <w:t xml:space="preserve"> растворов с иглой 21G, стерильная, однократного применения, состоит из: прокалывающего устройства и защитного колпачка, воздухозаборника с воздушным фильтром, канала для тока жидкости, </w:t>
      </w:r>
      <w:proofErr w:type="spellStart"/>
      <w:r w:rsidRPr="0086450B">
        <w:rPr>
          <w:sz w:val="22"/>
          <w:szCs w:val="22"/>
          <w:shd w:val="clear" w:color="auto" w:fill="FFFFFF"/>
        </w:rPr>
        <w:t>каплеуловителя</w:t>
      </w:r>
      <w:proofErr w:type="spellEnd"/>
      <w:r w:rsidRPr="0086450B">
        <w:rPr>
          <w:sz w:val="22"/>
          <w:szCs w:val="22"/>
          <w:shd w:val="clear" w:color="auto" w:fill="FFFFFF"/>
        </w:rPr>
        <w:t>, капельной  камеры, фильтра жидкости, трубки, регулятора потока, уплотнителя, наружного конического адаптера, иглы.</w:t>
      </w:r>
    </w:p>
    <w:p w:rsidR="0017309E" w:rsidRPr="00327FFE" w:rsidRDefault="0017309E" w:rsidP="007561BE">
      <w:pPr>
        <w:ind w:left="567"/>
        <w:jc w:val="center"/>
        <w:rPr>
          <w:shd w:val="clear" w:color="auto" w:fill="FFFFFF"/>
        </w:rPr>
      </w:pPr>
    </w:p>
    <w:p w:rsidR="00327FFE" w:rsidRPr="00327FFE" w:rsidRDefault="00327FFE" w:rsidP="00327FFE">
      <w:pPr>
        <w:pStyle w:val="a7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327FFE" w:rsidRDefault="00327FFE" w:rsidP="007561BE">
      <w:pPr>
        <w:ind w:left="567"/>
        <w:jc w:val="center"/>
        <w:rPr>
          <w:b/>
          <w:shd w:val="clear" w:color="auto" w:fill="FFFFFF"/>
        </w:rPr>
      </w:pPr>
      <w:r w:rsidRPr="00327FFE">
        <w:rPr>
          <w:b/>
          <w:shd w:val="clear" w:color="auto" w:fill="FFFFFF"/>
        </w:rPr>
        <w:t xml:space="preserve">Лот 3. </w:t>
      </w:r>
      <w:r w:rsidR="002D3072" w:rsidRPr="002D3072">
        <w:rPr>
          <w:b/>
          <w:shd w:val="clear" w:color="auto" w:fill="FFFFFF"/>
        </w:rPr>
        <w:t>Система для переливания крови и кровезаменителей с иглой 18G (23G)</w:t>
      </w:r>
    </w:p>
    <w:p w:rsidR="0017309E" w:rsidRDefault="0017309E" w:rsidP="0017309E">
      <w:pPr>
        <w:ind w:left="567"/>
        <w:jc w:val="both"/>
        <w:rPr>
          <w:sz w:val="22"/>
          <w:szCs w:val="22"/>
          <w:shd w:val="clear" w:color="auto" w:fill="FFFFFF"/>
        </w:rPr>
      </w:pPr>
      <w:r w:rsidRPr="0086450B">
        <w:rPr>
          <w:sz w:val="22"/>
          <w:szCs w:val="22"/>
          <w:shd w:val="clear" w:color="auto" w:fill="FFFFFF"/>
        </w:rPr>
        <w:t xml:space="preserve">Система </w:t>
      </w:r>
      <w:r>
        <w:rPr>
          <w:sz w:val="22"/>
          <w:szCs w:val="22"/>
          <w:shd w:val="clear" w:color="auto" w:fill="FFFFFF"/>
        </w:rPr>
        <w:t xml:space="preserve">для переливания крови и кровезаменителей стерильная, однократного применения, состоит из: защитного колпачка для иглы, иглы </w:t>
      </w:r>
      <w:r w:rsidRPr="00B06874">
        <w:rPr>
          <w:sz w:val="22"/>
          <w:szCs w:val="22"/>
          <w:shd w:val="clear" w:color="auto" w:fill="FFFFFF"/>
        </w:rPr>
        <w:t>18G</w:t>
      </w:r>
      <w:r>
        <w:rPr>
          <w:sz w:val="22"/>
          <w:szCs w:val="22"/>
          <w:shd w:val="clear" w:color="auto" w:fill="FFFFFF"/>
        </w:rPr>
        <w:t xml:space="preserve">, капельной камеры, фильтра жидкости, трубки, регулятора потока, уплотнителя, наружного конического адаптера, иглы. </w:t>
      </w:r>
    </w:p>
    <w:p w:rsidR="0017309E" w:rsidRDefault="0017309E" w:rsidP="0017309E">
      <w:pPr>
        <w:ind w:left="567"/>
        <w:jc w:val="both"/>
        <w:rPr>
          <w:sz w:val="22"/>
          <w:szCs w:val="22"/>
          <w:shd w:val="clear" w:color="auto" w:fill="FFFFFF"/>
        </w:rPr>
      </w:pPr>
      <w:r w:rsidRPr="0086450B">
        <w:rPr>
          <w:sz w:val="22"/>
          <w:szCs w:val="22"/>
          <w:shd w:val="clear" w:color="auto" w:fill="FFFFFF"/>
        </w:rPr>
        <w:t xml:space="preserve">Система </w:t>
      </w:r>
      <w:r>
        <w:rPr>
          <w:sz w:val="22"/>
          <w:szCs w:val="22"/>
          <w:shd w:val="clear" w:color="auto" w:fill="FFFFFF"/>
        </w:rPr>
        <w:t xml:space="preserve">для переливания крови и кровезаменителей стерильная, однократного применения, состоит из: защитного колпачка для иглы, иглы </w:t>
      </w:r>
      <w:r w:rsidRPr="00B06874">
        <w:rPr>
          <w:sz w:val="22"/>
          <w:szCs w:val="22"/>
          <w:shd w:val="clear" w:color="auto" w:fill="FFFFFF"/>
        </w:rPr>
        <w:t>18G</w:t>
      </w:r>
      <w:r>
        <w:rPr>
          <w:sz w:val="22"/>
          <w:szCs w:val="22"/>
          <w:shd w:val="clear" w:color="auto" w:fill="FFFFFF"/>
        </w:rPr>
        <w:t xml:space="preserve">, капельной камеры, фильтра жидкости, трубки, регулятора потока, уплотнителя, наружного конического адаптера, иглы. </w:t>
      </w:r>
    </w:p>
    <w:p w:rsidR="0017309E" w:rsidRPr="00327FFE" w:rsidRDefault="0017309E" w:rsidP="007561BE">
      <w:pPr>
        <w:ind w:left="567"/>
        <w:jc w:val="center"/>
        <w:rPr>
          <w:rStyle w:val="af7"/>
          <w:b w:val="0"/>
        </w:rPr>
      </w:pPr>
    </w:p>
    <w:p w:rsidR="007561BE" w:rsidRDefault="007561BE" w:rsidP="002D3072">
      <w:pPr>
        <w:jc w:val="both"/>
      </w:pPr>
    </w:p>
    <w:p w:rsidR="007561BE" w:rsidRDefault="002D3072" w:rsidP="007561BE">
      <w:pPr>
        <w:ind w:firstLine="400"/>
        <w:jc w:val="center"/>
        <w:rPr>
          <w:b/>
        </w:rPr>
      </w:pPr>
      <w:r>
        <w:rPr>
          <w:b/>
        </w:rPr>
        <w:t>Лот 4.</w:t>
      </w:r>
      <w:r w:rsidR="0090209B" w:rsidRPr="0090209B">
        <w:t xml:space="preserve"> </w:t>
      </w:r>
      <w:r w:rsidR="0090209B" w:rsidRPr="0090209B">
        <w:rPr>
          <w:b/>
        </w:rPr>
        <w:t>Шприц инъекционный 5 мл</w:t>
      </w:r>
      <w:proofErr w:type="gramStart"/>
      <w:r w:rsidR="0090209B" w:rsidRPr="0090209B">
        <w:rPr>
          <w:b/>
        </w:rPr>
        <w:t>.</w:t>
      </w:r>
      <w:proofErr w:type="gramEnd"/>
      <w:r w:rsidR="0090209B" w:rsidRPr="0090209B">
        <w:rPr>
          <w:b/>
        </w:rPr>
        <w:t xml:space="preserve"> </w:t>
      </w:r>
      <w:proofErr w:type="gramStart"/>
      <w:r w:rsidR="0090209B" w:rsidRPr="0090209B">
        <w:rPr>
          <w:b/>
        </w:rPr>
        <w:t>с</w:t>
      </w:r>
      <w:proofErr w:type="gramEnd"/>
      <w:r w:rsidR="0090209B" w:rsidRPr="0090209B">
        <w:rPr>
          <w:b/>
        </w:rPr>
        <w:t xml:space="preserve"> иглой 3-х компонентный</w:t>
      </w:r>
    </w:p>
    <w:p w:rsidR="0017309E" w:rsidRPr="00FD4DBE" w:rsidRDefault="0017309E" w:rsidP="0017309E">
      <w:pPr>
        <w:ind w:left="567"/>
        <w:jc w:val="both"/>
        <w:rPr>
          <w:b/>
          <w:sz w:val="22"/>
          <w:szCs w:val="22"/>
        </w:rPr>
      </w:pPr>
      <w:r w:rsidRPr="00FD4DBE">
        <w:rPr>
          <w:rStyle w:val="af7"/>
          <w:b w:val="0"/>
          <w:sz w:val="22"/>
          <w:szCs w:val="22"/>
        </w:rPr>
        <w:t>Шприц инъекционный объемом 5.0 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 w:rsidRPr="00FD4DBE">
        <w:rPr>
          <w:rStyle w:val="af7"/>
          <w:b w:val="0"/>
          <w:sz w:val="22"/>
          <w:szCs w:val="22"/>
        </w:rPr>
        <w:t>с размером иглы 22G x 1 1/2, стерильный, однократного применения.</w:t>
      </w:r>
    </w:p>
    <w:p w:rsidR="0017309E" w:rsidRDefault="0017309E" w:rsidP="007561BE">
      <w:pPr>
        <w:ind w:firstLine="400"/>
        <w:jc w:val="center"/>
        <w:rPr>
          <w:b/>
        </w:rPr>
      </w:pPr>
    </w:p>
    <w:p w:rsidR="002D3072" w:rsidRDefault="002D3072" w:rsidP="002D3072">
      <w:pPr>
        <w:rPr>
          <w:b/>
        </w:rPr>
      </w:pPr>
    </w:p>
    <w:p w:rsidR="002D3072" w:rsidRDefault="002D3072" w:rsidP="007561BE">
      <w:pPr>
        <w:ind w:firstLine="400"/>
        <w:jc w:val="center"/>
        <w:rPr>
          <w:b/>
        </w:rPr>
      </w:pPr>
      <w:r>
        <w:rPr>
          <w:b/>
        </w:rPr>
        <w:t>Лот 5.</w:t>
      </w:r>
      <w:r w:rsidR="0090209B" w:rsidRPr="0090209B">
        <w:t xml:space="preserve"> </w:t>
      </w:r>
      <w:r w:rsidR="0090209B" w:rsidRPr="0090209B">
        <w:rPr>
          <w:b/>
        </w:rPr>
        <w:t>Шприц инъекционный 10 мл</w:t>
      </w:r>
      <w:proofErr w:type="gramStart"/>
      <w:r w:rsidR="0090209B" w:rsidRPr="0090209B">
        <w:rPr>
          <w:b/>
        </w:rPr>
        <w:t>.</w:t>
      </w:r>
      <w:proofErr w:type="gramEnd"/>
      <w:r w:rsidR="0090209B" w:rsidRPr="0090209B">
        <w:rPr>
          <w:b/>
        </w:rPr>
        <w:t xml:space="preserve"> </w:t>
      </w:r>
      <w:proofErr w:type="gramStart"/>
      <w:r w:rsidR="0090209B" w:rsidRPr="0090209B">
        <w:rPr>
          <w:b/>
        </w:rPr>
        <w:t>с</w:t>
      </w:r>
      <w:proofErr w:type="gramEnd"/>
      <w:r w:rsidR="0090209B" w:rsidRPr="0090209B">
        <w:rPr>
          <w:b/>
        </w:rPr>
        <w:t xml:space="preserve"> иглой 3-х компонентный</w:t>
      </w:r>
    </w:p>
    <w:p w:rsidR="0017309E" w:rsidRPr="00FD4DBE" w:rsidRDefault="0017309E" w:rsidP="0017309E">
      <w:pPr>
        <w:ind w:left="567"/>
        <w:jc w:val="both"/>
        <w:rPr>
          <w:rStyle w:val="af7"/>
          <w:bCs w:val="0"/>
          <w:sz w:val="22"/>
          <w:szCs w:val="22"/>
        </w:rPr>
      </w:pPr>
      <w:r w:rsidRPr="00FD4DBE">
        <w:rPr>
          <w:rStyle w:val="af7"/>
          <w:b w:val="0"/>
          <w:sz w:val="22"/>
          <w:szCs w:val="22"/>
        </w:rPr>
        <w:t xml:space="preserve">Шприц инъекционный объемом </w:t>
      </w:r>
      <w:r>
        <w:rPr>
          <w:rStyle w:val="af7"/>
          <w:b w:val="0"/>
          <w:sz w:val="22"/>
          <w:szCs w:val="22"/>
        </w:rPr>
        <w:t>10</w:t>
      </w:r>
      <w:r w:rsidRPr="00FD4DBE">
        <w:rPr>
          <w:rStyle w:val="af7"/>
          <w:b w:val="0"/>
          <w:sz w:val="22"/>
          <w:szCs w:val="22"/>
        </w:rPr>
        <w:t xml:space="preserve"> 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 w:rsidRPr="00FD4DBE">
        <w:rPr>
          <w:rStyle w:val="af7"/>
          <w:b w:val="0"/>
          <w:sz w:val="22"/>
          <w:szCs w:val="22"/>
        </w:rPr>
        <w:t>с размером иглы 21Gх1 1/2, стерильный, однократного применения.</w:t>
      </w:r>
    </w:p>
    <w:p w:rsidR="0017309E" w:rsidRDefault="0017309E" w:rsidP="007561BE">
      <w:pPr>
        <w:ind w:firstLine="400"/>
        <w:jc w:val="center"/>
        <w:rPr>
          <w:b/>
        </w:rPr>
      </w:pPr>
    </w:p>
    <w:p w:rsidR="002D3072" w:rsidRDefault="002D3072" w:rsidP="007561BE">
      <w:pPr>
        <w:ind w:firstLine="400"/>
        <w:jc w:val="center"/>
        <w:rPr>
          <w:b/>
        </w:rPr>
      </w:pPr>
    </w:p>
    <w:p w:rsidR="002D3072" w:rsidRDefault="002D3072" w:rsidP="007561BE">
      <w:pPr>
        <w:ind w:firstLine="400"/>
        <w:jc w:val="center"/>
        <w:rPr>
          <w:b/>
        </w:rPr>
      </w:pPr>
      <w:r>
        <w:rPr>
          <w:b/>
        </w:rPr>
        <w:t>Лот 6.</w:t>
      </w:r>
      <w:r w:rsidR="0090209B" w:rsidRPr="0090209B">
        <w:t xml:space="preserve"> </w:t>
      </w:r>
      <w:r w:rsidR="0090209B" w:rsidRPr="0090209B">
        <w:rPr>
          <w:b/>
        </w:rPr>
        <w:t>Шприц инъекционный 20 мл</w:t>
      </w:r>
      <w:proofErr w:type="gramStart"/>
      <w:r w:rsidR="0090209B" w:rsidRPr="0090209B">
        <w:rPr>
          <w:b/>
        </w:rPr>
        <w:t>.</w:t>
      </w:r>
      <w:proofErr w:type="gramEnd"/>
      <w:r w:rsidR="0090209B" w:rsidRPr="0090209B">
        <w:rPr>
          <w:b/>
        </w:rPr>
        <w:t xml:space="preserve"> </w:t>
      </w:r>
      <w:proofErr w:type="gramStart"/>
      <w:r w:rsidR="0090209B" w:rsidRPr="0090209B">
        <w:rPr>
          <w:b/>
        </w:rPr>
        <w:t>с</w:t>
      </w:r>
      <w:proofErr w:type="gramEnd"/>
      <w:r w:rsidR="0090209B" w:rsidRPr="0090209B">
        <w:rPr>
          <w:b/>
        </w:rPr>
        <w:t xml:space="preserve"> иглой 3-х компонентный</w:t>
      </w:r>
    </w:p>
    <w:p w:rsidR="00FF481D" w:rsidRPr="00306C5B" w:rsidRDefault="00FF481D" w:rsidP="00FF481D">
      <w:pPr>
        <w:ind w:left="567"/>
        <w:jc w:val="both"/>
        <w:rPr>
          <w:rStyle w:val="af7"/>
          <w:bCs w:val="0"/>
          <w:sz w:val="22"/>
          <w:szCs w:val="22"/>
        </w:rPr>
      </w:pPr>
      <w:r w:rsidRPr="00FD4DBE">
        <w:rPr>
          <w:rStyle w:val="af7"/>
          <w:b w:val="0"/>
          <w:sz w:val="22"/>
          <w:szCs w:val="22"/>
        </w:rPr>
        <w:t xml:space="preserve">Шприц инъекционный объемом </w:t>
      </w:r>
      <w:r>
        <w:rPr>
          <w:rStyle w:val="af7"/>
          <w:b w:val="0"/>
          <w:sz w:val="22"/>
          <w:szCs w:val="22"/>
        </w:rPr>
        <w:t>20</w:t>
      </w:r>
      <w:r w:rsidRPr="00FD4DBE">
        <w:rPr>
          <w:rStyle w:val="af7"/>
          <w:b w:val="0"/>
          <w:sz w:val="22"/>
          <w:szCs w:val="22"/>
        </w:rPr>
        <w:t xml:space="preserve"> мл</w:t>
      </w:r>
      <w:proofErr w:type="gramStart"/>
      <w:r>
        <w:rPr>
          <w:rStyle w:val="af7"/>
          <w:b w:val="0"/>
          <w:sz w:val="22"/>
          <w:szCs w:val="22"/>
        </w:rPr>
        <w:t xml:space="preserve">., </w:t>
      </w:r>
      <w:proofErr w:type="gramEnd"/>
      <w:r w:rsidRPr="00FD4DBE">
        <w:rPr>
          <w:rStyle w:val="af7"/>
          <w:b w:val="0"/>
          <w:sz w:val="22"/>
          <w:szCs w:val="22"/>
        </w:rPr>
        <w:t>с размером иглы 20Gх1 1/2, стерильный, однократного применения.</w:t>
      </w:r>
    </w:p>
    <w:p w:rsidR="00FF481D" w:rsidRDefault="00FF481D" w:rsidP="007561BE">
      <w:pPr>
        <w:ind w:firstLine="400"/>
        <w:jc w:val="center"/>
        <w:rPr>
          <w:b/>
        </w:rPr>
      </w:pPr>
    </w:p>
    <w:p w:rsidR="002D3072" w:rsidRDefault="002D3072" w:rsidP="007561BE">
      <w:pPr>
        <w:ind w:firstLine="400"/>
        <w:jc w:val="center"/>
        <w:rPr>
          <w:b/>
        </w:rPr>
      </w:pPr>
    </w:p>
    <w:p w:rsidR="002D3072" w:rsidRDefault="002D3072" w:rsidP="007561BE">
      <w:pPr>
        <w:ind w:firstLine="400"/>
        <w:jc w:val="center"/>
        <w:rPr>
          <w:b/>
        </w:rPr>
      </w:pPr>
      <w:r>
        <w:rPr>
          <w:b/>
        </w:rPr>
        <w:t>Лот 7.</w:t>
      </w:r>
      <w:r w:rsidR="0090209B" w:rsidRPr="0090209B">
        <w:t xml:space="preserve"> </w:t>
      </w:r>
      <w:r w:rsidR="0090209B" w:rsidRPr="0090209B">
        <w:rPr>
          <w:b/>
        </w:rPr>
        <w:t>Шприц инъекционный 50 мл</w:t>
      </w:r>
      <w:proofErr w:type="gramStart"/>
      <w:r w:rsidR="0090209B" w:rsidRPr="0090209B">
        <w:rPr>
          <w:b/>
        </w:rPr>
        <w:t>.</w:t>
      </w:r>
      <w:proofErr w:type="gramEnd"/>
      <w:r w:rsidR="0090209B" w:rsidRPr="0090209B">
        <w:rPr>
          <w:b/>
        </w:rPr>
        <w:t xml:space="preserve"> </w:t>
      </w:r>
      <w:proofErr w:type="gramStart"/>
      <w:r w:rsidR="0090209B" w:rsidRPr="0090209B">
        <w:rPr>
          <w:b/>
        </w:rPr>
        <w:t>с</w:t>
      </w:r>
      <w:proofErr w:type="gramEnd"/>
      <w:r w:rsidR="0090209B" w:rsidRPr="0090209B">
        <w:rPr>
          <w:b/>
        </w:rPr>
        <w:t>терильный</w:t>
      </w:r>
    </w:p>
    <w:p w:rsidR="009543AF" w:rsidRDefault="009543AF" w:rsidP="007561BE">
      <w:pPr>
        <w:ind w:firstLine="400"/>
        <w:jc w:val="center"/>
        <w:rPr>
          <w:b/>
        </w:rPr>
      </w:pPr>
    </w:p>
    <w:p w:rsidR="00E57F80" w:rsidRPr="002C02AB" w:rsidRDefault="002C02AB" w:rsidP="00E57F80">
      <w:pPr>
        <w:suppressAutoHyphens w:val="0"/>
        <w:jc w:val="center"/>
        <w:rPr>
          <w:sz w:val="22"/>
          <w:szCs w:val="22"/>
        </w:rPr>
      </w:pPr>
      <w:r w:rsidRPr="002C02AB">
        <w:rPr>
          <w:sz w:val="22"/>
          <w:szCs w:val="22"/>
        </w:rPr>
        <w:t xml:space="preserve">Шприц </w:t>
      </w:r>
      <w:r w:rsidR="00E57F80" w:rsidRPr="002C02AB">
        <w:rPr>
          <w:sz w:val="22"/>
          <w:szCs w:val="22"/>
        </w:rPr>
        <w:t xml:space="preserve"> </w:t>
      </w:r>
      <w:r w:rsidRPr="002C02AB">
        <w:rPr>
          <w:rStyle w:val="af7"/>
          <w:b w:val="0"/>
          <w:sz w:val="22"/>
          <w:szCs w:val="22"/>
        </w:rPr>
        <w:t>объемом</w:t>
      </w:r>
      <w:r w:rsidRPr="002C02AB">
        <w:rPr>
          <w:sz w:val="22"/>
          <w:szCs w:val="22"/>
        </w:rPr>
        <w:t xml:space="preserve"> </w:t>
      </w:r>
      <w:r w:rsidR="00E57F80" w:rsidRPr="002C02AB">
        <w:rPr>
          <w:sz w:val="22"/>
          <w:szCs w:val="22"/>
        </w:rPr>
        <w:t xml:space="preserve">50 мл с игл 18Gх 1 1/2" </w:t>
      </w:r>
      <w:proofErr w:type="spellStart"/>
      <w:r w:rsidR="00E57F80" w:rsidRPr="002C02AB">
        <w:rPr>
          <w:sz w:val="22"/>
          <w:szCs w:val="22"/>
        </w:rPr>
        <w:t>инъекц</w:t>
      </w:r>
      <w:proofErr w:type="spellEnd"/>
      <w:r w:rsidR="00E57F80" w:rsidRPr="002C02AB">
        <w:rPr>
          <w:sz w:val="22"/>
          <w:szCs w:val="22"/>
        </w:rPr>
        <w:t>. 3х-комп</w:t>
      </w:r>
      <w:proofErr w:type="gramStart"/>
      <w:r w:rsidR="00E57F80" w:rsidRPr="002C02AB">
        <w:rPr>
          <w:sz w:val="22"/>
          <w:szCs w:val="22"/>
        </w:rPr>
        <w:t>.с</w:t>
      </w:r>
      <w:proofErr w:type="gramEnd"/>
      <w:r w:rsidR="00E57F80" w:rsidRPr="002C02AB">
        <w:rPr>
          <w:sz w:val="22"/>
          <w:szCs w:val="22"/>
        </w:rPr>
        <w:t>терильный</w:t>
      </w:r>
    </w:p>
    <w:p w:rsidR="00E57F80" w:rsidRPr="002D3072" w:rsidRDefault="00E57F80" w:rsidP="007561BE">
      <w:pPr>
        <w:ind w:firstLine="400"/>
        <w:jc w:val="center"/>
        <w:rPr>
          <w:b/>
        </w:rPr>
        <w:sectPr w:rsidR="00E57F80" w:rsidRPr="002D3072" w:rsidSect="00327FFE">
          <w:footnotePr>
            <w:pos w:val="beneathText"/>
          </w:footnotePr>
          <w:pgSz w:w="11905" w:h="16837"/>
          <w:pgMar w:top="851" w:right="1134" w:bottom="1134" w:left="1134" w:header="0" w:footer="720" w:gutter="0"/>
          <w:cols w:space="720"/>
          <w:docGrid w:linePitch="360"/>
        </w:sectPr>
      </w:pPr>
    </w:p>
    <w:p w:rsidR="00F1698D" w:rsidRPr="00364A3B" w:rsidRDefault="00F1698D" w:rsidP="00AF0928">
      <w:pPr>
        <w:pStyle w:val="j1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6C5967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6C5967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6C5967" w:rsidRDefault="006C5967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lastRenderedPageBreak/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6C5967" w:rsidRDefault="006C5967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6C5967" w:rsidRDefault="006C5967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6C5967" w:rsidRDefault="006C5967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80" w:rsidRDefault="00E57F80">
      <w:r>
        <w:separator/>
      </w:r>
    </w:p>
  </w:endnote>
  <w:endnote w:type="continuationSeparator" w:id="0">
    <w:p w:rsidR="00E57F80" w:rsidRDefault="00E5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80" w:rsidRDefault="00E57F80">
      <w:r>
        <w:separator/>
      </w:r>
    </w:p>
  </w:footnote>
  <w:footnote w:type="continuationSeparator" w:id="0">
    <w:p w:rsidR="00E57F80" w:rsidRDefault="00E5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80" w:rsidRDefault="00E57F80">
    <w:pPr>
      <w:pStyle w:val="a6"/>
    </w:pPr>
  </w:p>
  <w:p w:rsidR="00E57F80" w:rsidRDefault="00E57F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986611" wp14:editId="65904BE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F80" w:rsidRPr="00127366" w:rsidRDefault="00E57F80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E57F80" w:rsidRPr="00127366" w:rsidRDefault="00E57F80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22C44"/>
    <w:rsid w:val="00022E99"/>
    <w:rsid w:val="000311A9"/>
    <w:rsid w:val="00031E92"/>
    <w:rsid w:val="00033D7E"/>
    <w:rsid w:val="00041D6E"/>
    <w:rsid w:val="0005150A"/>
    <w:rsid w:val="00051C35"/>
    <w:rsid w:val="00052807"/>
    <w:rsid w:val="000577EA"/>
    <w:rsid w:val="00061213"/>
    <w:rsid w:val="00062FF2"/>
    <w:rsid w:val="000649E2"/>
    <w:rsid w:val="00077B9F"/>
    <w:rsid w:val="00085DC2"/>
    <w:rsid w:val="0009435A"/>
    <w:rsid w:val="00096EF2"/>
    <w:rsid w:val="000A2A6B"/>
    <w:rsid w:val="000A601B"/>
    <w:rsid w:val="000A6F2D"/>
    <w:rsid w:val="000B02F1"/>
    <w:rsid w:val="000B2EFA"/>
    <w:rsid w:val="000B7CBD"/>
    <w:rsid w:val="000C51E3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7309E"/>
    <w:rsid w:val="0018235D"/>
    <w:rsid w:val="00184ECE"/>
    <w:rsid w:val="00191C9B"/>
    <w:rsid w:val="00191D49"/>
    <w:rsid w:val="001B0D98"/>
    <w:rsid w:val="001C1789"/>
    <w:rsid w:val="001C756C"/>
    <w:rsid w:val="001D1976"/>
    <w:rsid w:val="001D64E5"/>
    <w:rsid w:val="001E28EA"/>
    <w:rsid w:val="001E7CA8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6971"/>
    <w:rsid w:val="00257E1E"/>
    <w:rsid w:val="00260468"/>
    <w:rsid w:val="00262EC9"/>
    <w:rsid w:val="0026412E"/>
    <w:rsid w:val="002666B2"/>
    <w:rsid w:val="0027164A"/>
    <w:rsid w:val="00281A44"/>
    <w:rsid w:val="00281F6D"/>
    <w:rsid w:val="00285D08"/>
    <w:rsid w:val="00286956"/>
    <w:rsid w:val="002905B4"/>
    <w:rsid w:val="002961E0"/>
    <w:rsid w:val="00297C8F"/>
    <w:rsid w:val="002A4E2C"/>
    <w:rsid w:val="002B1E72"/>
    <w:rsid w:val="002C02AB"/>
    <w:rsid w:val="002C0AED"/>
    <w:rsid w:val="002C3082"/>
    <w:rsid w:val="002C5995"/>
    <w:rsid w:val="002C5BA0"/>
    <w:rsid w:val="002D1DB4"/>
    <w:rsid w:val="002D22CC"/>
    <w:rsid w:val="002D3072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304BAF"/>
    <w:rsid w:val="0030588E"/>
    <w:rsid w:val="00307A59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651DC"/>
    <w:rsid w:val="00394CD4"/>
    <w:rsid w:val="003953F3"/>
    <w:rsid w:val="003A6CEE"/>
    <w:rsid w:val="003B7E50"/>
    <w:rsid w:val="003D2B9C"/>
    <w:rsid w:val="003D4E26"/>
    <w:rsid w:val="003D5519"/>
    <w:rsid w:val="003E253A"/>
    <w:rsid w:val="003E58B5"/>
    <w:rsid w:val="003F30CD"/>
    <w:rsid w:val="003F5001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654E9"/>
    <w:rsid w:val="00466D4B"/>
    <w:rsid w:val="00477499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781A"/>
    <w:rsid w:val="00523E9E"/>
    <w:rsid w:val="00531E17"/>
    <w:rsid w:val="00532BFB"/>
    <w:rsid w:val="00537B37"/>
    <w:rsid w:val="0054540B"/>
    <w:rsid w:val="00546371"/>
    <w:rsid w:val="0054688F"/>
    <w:rsid w:val="005516D4"/>
    <w:rsid w:val="0055351F"/>
    <w:rsid w:val="00554EF3"/>
    <w:rsid w:val="005551A7"/>
    <w:rsid w:val="005569E6"/>
    <w:rsid w:val="00560653"/>
    <w:rsid w:val="00583949"/>
    <w:rsid w:val="00584545"/>
    <w:rsid w:val="00585D48"/>
    <w:rsid w:val="005923CE"/>
    <w:rsid w:val="005A155F"/>
    <w:rsid w:val="005A6DDB"/>
    <w:rsid w:val="005A700D"/>
    <w:rsid w:val="005C14F2"/>
    <w:rsid w:val="005C522D"/>
    <w:rsid w:val="005E13A7"/>
    <w:rsid w:val="005E45D0"/>
    <w:rsid w:val="005E74FF"/>
    <w:rsid w:val="005F36B1"/>
    <w:rsid w:val="00622771"/>
    <w:rsid w:val="0062402B"/>
    <w:rsid w:val="006409FA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66C8"/>
    <w:rsid w:val="006A4D4B"/>
    <w:rsid w:val="006A5634"/>
    <w:rsid w:val="006A5BDA"/>
    <w:rsid w:val="006B21E3"/>
    <w:rsid w:val="006B3331"/>
    <w:rsid w:val="006B70E4"/>
    <w:rsid w:val="006C2CF2"/>
    <w:rsid w:val="006C5967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1BE"/>
    <w:rsid w:val="007661BA"/>
    <w:rsid w:val="00767BC6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1AF6"/>
    <w:rsid w:val="007D5BB5"/>
    <w:rsid w:val="007D77DB"/>
    <w:rsid w:val="007E201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54266"/>
    <w:rsid w:val="00862AD1"/>
    <w:rsid w:val="0086343E"/>
    <w:rsid w:val="00870757"/>
    <w:rsid w:val="00871084"/>
    <w:rsid w:val="00876221"/>
    <w:rsid w:val="00876844"/>
    <w:rsid w:val="00886930"/>
    <w:rsid w:val="0089062A"/>
    <w:rsid w:val="00896A9D"/>
    <w:rsid w:val="0089713E"/>
    <w:rsid w:val="008A3A81"/>
    <w:rsid w:val="008D6001"/>
    <w:rsid w:val="008E35A5"/>
    <w:rsid w:val="008E6231"/>
    <w:rsid w:val="0090209B"/>
    <w:rsid w:val="0090590E"/>
    <w:rsid w:val="00912037"/>
    <w:rsid w:val="00914F92"/>
    <w:rsid w:val="00915348"/>
    <w:rsid w:val="009155F7"/>
    <w:rsid w:val="009178F9"/>
    <w:rsid w:val="00922AF4"/>
    <w:rsid w:val="00930AB1"/>
    <w:rsid w:val="00942BC5"/>
    <w:rsid w:val="00950134"/>
    <w:rsid w:val="009543AF"/>
    <w:rsid w:val="009572CD"/>
    <w:rsid w:val="00962978"/>
    <w:rsid w:val="009647D2"/>
    <w:rsid w:val="00975EB3"/>
    <w:rsid w:val="0098142C"/>
    <w:rsid w:val="00982987"/>
    <w:rsid w:val="00982C28"/>
    <w:rsid w:val="009841DA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B115B"/>
    <w:rsid w:val="009B14E1"/>
    <w:rsid w:val="009B2B8B"/>
    <w:rsid w:val="009C1EF2"/>
    <w:rsid w:val="009C263B"/>
    <w:rsid w:val="009C3E7C"/>
    <w:rsid w:val="009C4153"/>
    <w:rsid w:val="009C50D5"/>
    <w:rsid w:val="009D1FB8"/>
    <w:rsid w:val="009D265C"/>
    <w:rsid w:val="009D420C"/>
    <w:rsid w:val="009D6474"/>
    <w:rsid w:val="009D7BF6"/>
    <w:rsid w:val="009D7F0A"/>
    <w:rsid w:val="009E488B"/>
    <w:rsid w:val="009E4D72"/>
    <w:rsid w:val="00A047F4"/>
    <w:rsid w:val="00A14401"/>
    <w:rsid w:val="00A20A67"/>
    <w:rsid w:val="00A21F67"/>
    <w:rsid w:val="00A24289"/>
    <w:rsid w:val="00A26FB1"/>
    <w:rsid w:val="00A407EF"/>
    <w:rsid w:val="00A4099F"/>
    <w:rsid w:val="00A410ED"/>
    <w:rsid w:val="00A4649F"/>
    <w:rsid w:val="00A546F2"/>
    <w:rsid w:val="00A64398"/>
    <w:rsid w:val="00A76439"/>
    <w:rsid w:val="00A80225"/>
    <w:rsid w:val="00A80A00"/>
    <w:rsid w:val="00A85377"/>
    <w:rsid w:val="00AA69D5"/>
    <w:rsid w:val="00AB398E"/>
    <w:rsid w:val="00AB3DD3"/>
    <w:rsid w:val="00AC4E15"/>
    <w:rsid w:val="00AC7974"/>
    <w:rsid w:val="00AE21E5"/>
    <w:rsid w:val="00AE2447"/>
    <w:rsid w:val="00AE4825"/>
    <w:rsid w:val="00AF0928"/>
    <w:rsid w:val="00AF1584"/>
    <w:rsid w:val="00AF1F34"/>
    <w:rsid w:val="00AF5F4D"/>
    <w:rsid w:val="00B05513"/>
    <w:rsid w:val="00B1081E"/>
    <w:rsid w:val="00B10BAD"/>
    <w:rsid w:val="00B1357B"/>
    <w:rsid w:val="00B22D65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90D0B"/>
    <w:rsid w:val="00B968FC"/>
    <w:rsid w:val="00BA4707"/>
    <w:rsid w:val="00BB2010"/>
    <w:rsid w:val="00BB2D0B"/>
    <w:rsid w:val="00BC4861"/>
    <w:rsid w:val="00BD21D7"/>
    <w:rsid w:val="00BD3F51"/>
    <w:rsid w:val="00BD5ABB"/>
    <w:rsid w:val="00BD7480"/>
    <w:rsid w:val="00BE1D2D"/>
    <w:rsid w:val="00BE3881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57C44"/>
    <w:rsid w:val="00C6607D"/>
    <w:rsid w:val="00C660F2"/>
    <w:rsid w:val="00C66142"/>
    <w:rsid w:val="00C72D04"/>
    <w:rsid w:val="00C77DE4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5290"/>
    <w:rsid w:val="00CF03BC"/>
    <w:rsid w:val="00CF20EA"/>
    <w:rsid w:val="00D023E6"/>
    <w:rsid w:val="00D02C24"/>
    <w:rsid w:val="00D02F03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7B00"/>
    <w:rsid w:val="00D745A0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B39"/>
    <w:rsid w:val="00E20E91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57F80"/>
    <w:rsid w:val="00E615D5"/>
    <w:rsid w:val="00E620D9"/>
    <w:rsid w:val="00E7533D"/>
    <w:rsid w:val="00E8276C"/>
    <w:rsid w:val="00E90383"/>
    <w:rsid w:val="00E91EA2"/>
    <w:rsid w:val="00E9253C"/>
    <w:rsid w:val="00EA1B52"/>
    <w:rsid w:val="00EA4E94"/>
    <w:rsid w:val="00EA5739"/>
    <w:rsid w:val="00EB1CC4"/>
    <w:rsid w:val="00EB3057"/>
    <w:rsid w:val="00EB65D0"/>
    <w:rsid w:val="00ED25A0"/>
    <w:rsid w:val="00EE2A11"/>
    <w:rsid w:val="00EE5993"/>
    <w:rsid w:val="00EF0413"/>
    <w:rsid w:val="00EF0F7E"/>
    <w:rsid w:val="00EF213B"/>
    <w:rsid w:val="00EF5159"/>
    <w:rsid w:val="00F10CB4"/>
    <w:rsid w:val="00F1698D"/>
    <w:rsid w:val="00F2184E"/>
    <w:rsid w:val="00F21DAA"/>
    <w:rsid w:val="00F26D5E"/>
    <w:rsid w:val="00F30B7A"/>
    <w:rsid w:val="00F32F5D"/>
    <w:rsid w:val="00F470B2"/>
    <w:rsid w:val="00F50EE9"/>
    <w:rsid w:val="00F55C0F"/>
    <w:rsid w:val="00F579DF"/>
    <w:rsid w:val="00F67E14"/>
    <w:rsid w:val="00F71F2F"/>
    <w:rsid w:val="00F76752"/>
    <w:rsid w:val="00F806BA"/>
    <w:rsid w:val="00F80CE7"/>
    <w:rsid w:val="00F81DBB"/>
    <w:rsid w:val="00F82695"/>
    <w:rsid w:val="00F83423"/>
    <w:rsid w:val="00F90444"/>
    <w:rsid w:val="00F90D85"/>
    <w:rsid w:val="00F92199"/>
    <w:rsid w:val="00F93A4E"/>
    <w:rsid w:val="00F94839"/>
    <w:rsid w:val="00F94A02"/>
    <w:rsid w:val="00F9707E"/>
    <w:rsid w:val="00FA4E5C"/>
    <w:rsid w:val="00FA705B"/>
    <w:rsid w:val="00FA70B3"/>
    <w:rsid w:val="00FB601F"/>
    <w:rsid w:val="00FC73C9"/>
    <w:rsid w:val="00FD38E4"/>
    <w:rsid w:val="00FD40AA"/>
    <w:rsid w:val="00FE166E"/>
    <w:rsid w:val="00FE3F24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54C0-857A-4BEC-A3E5-1AFA8910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7932</Words>
  <Characters>61977</Characters>
  <Application>Microsoft Office Word</Application>
  <DocSecurity>0</DocSecurity>
  <Lines>516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69770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23</cp:revision>
  <cp:lastPrinted>2019-01-11T04:20:00Z</cp:lastPrinted>
  <dcterms:created xsi:type="dcterms:W3CDTF">2019-01-10T04:58:00Z</dcterms:created>
  <dcterms:modified xsi:type="dcterms:W3CDTF">2019-01-11T04:25:00Z</dcterms:modified>
</cp:coreProperties>
</file>