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4C3539" w:rsidRDefault="008629D6" w:rsidP="008629D6">
      <w:pPr>
        <w:jc w:val="right"/>
        <w:rPr>
          <w:b/>
          <w:bCs/>
          <w:kern w:val="32"/>
          <w:sz w:val="24"/>
          <w:szCs w:val="24"/>
        </w:rPr>
      </w:pPr>
      <w:r w:rsidRPr="004C3539">
        <w:rPr>
          <w:b/>
          <w:bCs/>
          <w:kern w:val="32"/>
          <w:sz w:val="24"/>
          <w:szCs w:val="24"/>
        </w:rPr>
        <w:t xml:space="preserve">Утверждаю </w:t>
      </w:r>
    </w:p>
    <w:p w:rsidR="008629D6" w:rsidRPr="004C3539" w:rsidRDefault="008629D6" w:rsidP="008629D6">
      <w:pPr>
        <w:ind w:firstLine="567"/>
        <w:jc w:val="right"/>
        <w:rPr>
          <w:b/>
          <w:bCs/>
          <w:kern w:val="32"/>
          <w:sz w:val="24"/>
          <w:szCs w:val="24"/>
        </w:rPr>
      </w:pPr>
      <w:r w:rsidRPr="004C3539">
        <w:rPr>
          <w:b/>
          <w:bCs/>
          <w:kern w:val="32"/>
          <w:sz w:val="24"/>
          <w:szCs w:val="24"/>
        </w:rPr>
        <w:t>Директор ГКП на ПХВ «АМКБ»</w:t>
      </w:r>
    </w:p>
    <w:p w:rsidR="008629D6" w:rsidRDefault="008629D6" w:rsidP="008629D6">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8629D6" w:rsidRPr="00A73374" w:rsidRDefault="008629D6" w:rsidP="008629D6">
      <w:pPr>
        <w:ind w:firstLine="567"/>
        <w:jc w:val="right"/>
        <w:rPr>
          <w:b/>
          <w:bCs/>
          <w:kern w:val="32"/>
          <w:sz w:val="24"/>
          <w:szCs w:val="24"/>
        </w:rPr>
      </w:pPr>
      <w:r w:rsidRPr="00A8201D">
        <w:rPr>
          <w:b/>
          <w:bCs/>
          <w:kern w:val="32"/>
          <w:sz w:val="24"/>
          <w:szCs w:val="24"/>
        </w:rPr>
        <w:t>№</w:t>
      </w:r>
      <w:r w:rsidR="007251D4">
        <w:rPr>
          <w:b/>
          <w:bCs/>
          <w:kern w:val="32"/>
          <w:sz w:val="24"/>
          <w:szCs w:val="24"/>
        </w:rPr>
        <w:t>1</w:t>
      </w:r>
      <w:r w:rsidR="00FE0C58">
        <w:rPr>
          <w:b/>
          <w:bCs/>
          <w:kern w:val="32"/>
          <w:sz w:val="24"/>
          <w:szCs w:val="24"/>
        </w:rPr>
        <w:t xml:space="preserve">36 </w:t>
      </w:r>
      <w:r w:rsidR="00272675">
        <w:rPr>
          <w:b/>
          <w:bCs/>
          <w:kern w:val="32"/>
          <w:sz w:val="24"/>
          <w:szCs w:val="24"/>
        </w:rPr>
        <w:t xml:space="preserve">- </w:t>
      </w:r>
      <w:proofErr w:type="gramStart"/>
      <w:r>
        <w:rPr>
          <w:b/>
          <w:bCs/>
          <w:kern w:val="32"/>
          <w:sz w:val="24"/>
          <w:szCs w:val="24"/>
        </w:rPr>
        <w:t>п</w:t>
      </w:r>
      <w:proofErr w:type="gramEnd"/>
      <w:r w:rsidRPr="00A8201D">
        <w:rPr>
          <w:b/>
          <w:bCs/>
          <w:kern w:val="32"/>
          <w:sz w:val="24"/>
          <w:szCs w:val="24"/>
        </w:rPr>
        <w:t xml:space="preserve"> от «</w:t>
      </w:r>
      <w:r w:rsidR="00DD2ACE">
        <w:rPr>
          <w:b/>
          <w:bCs/>
          <w:kern w:val="32"/>
          <w:sz w:val="24"/>
          <w:szCs w:val="24"/>
        </w:rPr>
        <w:t>2</w:t>
      </w:r>
      <w:r w:rsidR="00C803F8">
        <w:rPr>
          <w:b/>
          <w:bCs/>
          <w:kern w:val="32"/>
          <w:sz w:val="24"/>
          <w:szCs w:val="24"/>
        </w:rPr>
        <w:t>4</w:t>
      </w:r>
      <w:r w:rsidRPr="00A8201D">
        <w:rPr>
          <w:b/>
          <w:bCs/>
          <w:kern w:val="32"/>
          <w:sz w:val="24"/>
          <w:szCs w:val="24"/>
        </w:rPr>
        <w:t xml:space="preserve">» </w:t>
      </w:r>
      <w:r w:rsidR="00C803F8">
        <w:rPr>
          <w:b/>
          <w:bCs/>
          <w:kern w:val="32"/>
          <w:sz w:val="24"/>
          <w:szCs w:val="24"/>
          <w:lang w:val="kk-KZ"/>
        </w:rPr>
        <w:t>февраля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8629D6" w:rsidRDefault="008629D6" w:rsidP="008629D6">
      <w:pPr>
        <w:ind w:firstLine="567"/>
        <w:rPr>
          <w:b/>
          <w:sz w:val="24"/>
          <w:szCs w:val="24"/>
        </w:rPr>
      </w:pPr>
    </w:p>
    <w:p w:rsidR="00135AA2" w:rsidRDefault="00135AA2" w:rsidP="008629D6">
      <w:pPr>
        <w:ind w:firstLine="567"/>
        <w:rPr>
          <w:b/>
          <w:sz w:val="24"/>
          <w:szCs w:val="24"/>
        </w:rPr>
      </w:pPr>
    </w:p>
    <w:p w:rsidR="008629D6" w:rsidRPr="00E06CA3" w:rsidRDefault="008629D6" w:rsidP="008629D6">
      <w:pPr>
        <w:ind w:firstLine="567"/>
        <w:rPr>
          <w:b/>
          <w:sz w:val="24"/>
          <w:szCs w:val="24"/>
        </w:rPr>
      </w:pPr>
    </w:p>
    <w:p w:rsidR="008629D6" w:rsidRPr="00C404E5" w:rsidRDefault="008629D6" w:rsidP="008629D6">
      <w:pPr>
        <w:ind w:firstLine="567"/>
        <w:jc w:val="center"/>
        <w:rPr>
          <w:b/>
          <w:sz w:val="24"/>
          <w:szCs w:val="24"/>
        </w:rPr>
      </w:pPr>
      <w:r w:rsidRPr="00C404E5">
        <w:rPr>
          <w:b/>
          <w:sz w:val="24"/>
          <w:szCs w:val="24"/>
        </w:rPr>
        <w:t>ТЕНДЕРНАЯ ДОКУМЕНТАЦИЯ</w:t>
      </w:r>
    </w:p>
    <w:p w:rsidR="008629D6" w:rsidRPr="00C404E5" w:rsidRDefault="000D24C8" w:rsidP="008629D6">
      <w:pPr>
        <w:jc w:val="center"/>
        <w:rPr>
          <w:sz w:val="24"/>
          <w:szCs w:val="24"/>
        </w:rPr>
      </w:pPr>
      <w:proofErr w:type="gramStart"/>
      <w:r>
        <w:rPr>
          <w:sz w:val="24"/>
          <w:szCs w:val="24"/>
        </w:rPr>
        <w:t>п</w:t>
      </w:r>
      <w:r w:rsidR="008629D6" w:rsidRPr="00C404E5">
        <w:rPr>
          <w:sz w:val="24"/>
          <w:szCs w:val="24"/>
        </w:rPr>
        <w:t>редоставляемая</w:t>
      </w:r>
      <w:proofErr w:type="gramEnd"/>
      <w:r w:rsidR="008629D6" w:rsidRPr="00C404E5">
        <w:rPr>
          <w:sz w:val="24"/>
          <w:szCs w:val="24"/>
        </w:rPr>
        <w:t xml:space="preserve"> организатором </w:t>
      </w:r>
      <w:r w:rsidR="00FE0C58">
        <w:rPr>
          <w:sz w:val="24"/>
          <w:szCs w:val="24"/>
        </w:rPr>
        <w:t xml:space="preserve">повторного </w:t>
      </w:r>
      <w:r w:rsidR="008629D6" w:rsidRPr="00C404E5">
        <w:rPr>
          <w:sz w:val="24"/>
          <w:szCs w:val="24"/>
        </w:rPr>
        <w:t xml:space="preserve">тендера потенциальным поставщикам для подготовки тендерных заявок и участия в тендере по закупу </w:t>
      </w:r>
      <w:r w:rsidR="008629D6" w:rsidRPr="00C404E5">
        <w:rPr>
          <w:sz w:val="24"/>
          <w:szCs w:val="24"/>
          <w:lang w:val="kk-KZ"/>
        </w:rPr>
        <w:t>медицинских</w:t>
      </w:r>
      <w:r w:rsidR="008629D6" w:rsidRPr="00C404E5">
        <w:rPr>
          <w:sz w:val="24"/>
          <w:szCs w:val="24"/>
        </w:rPr>
        <w:t xml:space="preserve"> изделий на 2020 год</w:t>
      </w:r>
    </w:p>
    <w:p w:rsidR="008629D6" w:rsidRPr="00C404E5" w:rsidRDefault="008629D6" w:rsidP="008629D6">
      <w:pPr>
        <w:rPr>
          <w:b/>
          <w:sz w:val="24"/>
          <w:szCs w:val="24"/>
        </w:rPr>
      </w:pPr>
    </w:p>
    <w:p w:rsidR="008629D6" w:rsidRPr="00C404E5" w:rsidRDefault="008629D6" w:rsidP="008629D6">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w:t>
      </w:r>
      <w:r w:rsidR="00FE0C58">
        <w:rPr>
          <w:sz w:val="24"/>
          <w:szCs w:val="24"/>
        </w:rPr>
        <w:t xml:space="preserve">повторного </w:t>
      </w:r>
      <w:r w:rsidRPr="00C404E5">
        <w:rPr>
          <w:sz w:val="24"/>
          <w:szCs w:val="24"/>
        </w:rPr>
        <w:t xml:space="preserve">тендера – </w:t>
      </w:r>
      <w:r w:rsidR="00C404E5" w:rsidRPr="00C404E5">
        <w:rPr>
          <w:sz w:val="24"/>
          <w:szCs w:val="24"/>
        </w:rPr>
        <w:t xml:space="preserve">ГКП на ПХВ </w:t>
      </w:r>
      <w:r w:rsidRPr="00C404E5">
        <w:rPr>
          <w:sz w:val="24"/>
          <w:szCs w:val="24"/>
        </w:rPr>
        <w:t>«</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w:t>
      </w:r>
      <w:r w:rsidR="00FE0C58">
        <w:rPr>
          <w:sz w:val="24"/>
          <w:szCs w:val="24"/>
        </w:rPr>
        <w:t xml:space="preserve">повторном </w:t>
      </w:r>
      <w:r w:rsidRPr="00C404E5">
        <w:rPr>
          <w:sz w:val="24"/>
          <w:szCs w:val="24"/>
        </w:rPr>
        <w:t xml:space="preserve">тендере,  разработана в соответствии </w:t>
      </w:r>
      <w:r w:rsidRPr="00C404E5">
        <w:rPr>
          <w:bCs/>
          <w:sz w:val="24"/>
          <w:szCs w:val="24"/>
        </w:rPr>
        <w:t xml:space="preserve">с </w:t>
      </w:r>
      <w:r w:rsidRPr="00C404E5">
        <w:rPr>
          <w:sz w:val="24"/>
          <w:szCs w:val="24"/>
        </w:rPr>
        <w:t>Постановлением Правительства Республики Казахстан от 30 октября 20</w:t>
      </w:r>
      <w:r w:rsidR="00C404E5" w:rsidRPr="00C404E5">
        <w:rPr>
          <w:sz w:val="24"/>
          <w:szCs w:val="24"/>
        </w:rPr>
        <w:t>09 года</w:t>
      </w:r>
      <w:r w:rsidRPr="00C404E5">
        <w:rPr>
          <w:sz w:val="24"/>
          <w:szCs w:val="24"/>
        </w:rPr>
        <w:t xml:space="preserve"> № 1729 «Об утверждении Правил  организации и проведения закупа лекарственных средств </w:t>
      </w:r>
      <w:r w:rsidRPr="00C404E5">
        <w:rPr>
          <w:sz w:val="24"/>
          <w:szCs w:val="24"/>
          <w:lang w:val="kk-KZ"/>
        </w:rPr>
        <w:t>и медицинских</w:t>
      </w:r>
      <w:proofErr w:type="gramEnd"/>
      <w:r w:rsidRPr="00C404E5">
        <w:rPr>
          <w:sz w:val="24"/>
          <w:szCs w:val="24"/>
        </w:rPr>
        <w:t xml:space="preserve"> изделий</w:t>
      </w:r>
      <w:r w:rsidRPr="00C404E5">
        <w:rPr>
          <w:sz w:val="24"/>
          <w:szCs w:val="24"/>
          <w:lang w:val="kk-KZ"/>
        </w:rPr>
        <w:t xml:space="preserve">, </w:t>
      </w:r>
      <w:r w:rsidRPr="00C404E5">
        <w:rPr>
          <w:sz w:val="24"/>
          <w:szCs w:val="24"/>
        </w:rPr>
        <w:t>фармацевтических услуг» (далее - Правила)</w:t>
      </w:r>
      <w:r w:rsidRPr="00C404E5">
        <w:rPr>
          <w:sz w:val="24"/>
          <w:szCs w:val="24"/>
          <w:lang w:val="kk-KZ"/>
        </w:rPr>
        <w:t>.</w:t>
      </w:r>
    </w:p>
    <w:p w:rsidR="008629D6" w:rsidRPr="00C404E5" w:rsidRDefault="008629D6" w:rsidP="008629D6">
      <w:pPr>
        <w:ind w:firstLine="567"/>
        <w:jc w:val="both"/>
        <w:rPr>
          <w:sz w:val="24"/>
          <w:szCs w:val="24"/>
          <w:lang w:val="kk-KZ"/>
        </w:rPr>
      </w:pPr>
    </w:p>
    <w:p w:rsidR="008629D6" w:rsidRPr="00C404E5" w:rsidRDefault="008629D6" w:rsidP="00E81958">
      <w:pPr>
        <w:numPr>
          <w:ilvl w:val="0"/>
          <w:numId w:val="1"/>
        </w:numPr>
        <w:suppressAutoHyphens/>
        <w:jc w:val="center"/>
        <w:rPr>
          <w:b/>
          <w:sz w:val="24"/>
          <w:szCs w:val="24"/>
        </w:rPr>
      </w:pPr>
      <w:r w:rsidRPr="00C404E5">
        <w:rPr>
          <w:b/>
          <w:sz w:val="24"/>
          <w:szCs w:val="24"/>
        </w:rPr>
        <w:t>Предмет тендера</w:t>
      </w:r>
    </w:p>
    <w:p w:rsidR="008629D6" w:rsidRPr="00C404E5" w:rsidRDefault="008629D6" w:rsidP="008629D6">
      <w:pPr>
        <w:suppressAutoHyphens/>
        <w:ind w:firstLine="709"/>
        <w:jc w:val="both"/>
        <w:rPr>
          <w:sz w:val="24"/>
          <w:szCs w:val="24"/>
        </w:rPr>
      </w:pPr>
      <w:r w:rsidRPr="00C404E5">
        <w:rPr>
          <w:sz w:val="24"/>
          <w:szCs w:val="24"/>
        </w:rPr>
        <w:t xml:space="preserve">1. Настоящая Тендерная документация по проведению </w:t>
      </w:r>
      <w:r w:rsidR="00C803F8">
        <w:rPr>
          <w:sz w:val="24"/>
          <w:szCs w:val="24"/>
        </w:rPr>
        <w:t xml:space="preserve">повторного </w:t>
      </w:r>
      <w:r w:rsidRPr="00C404E5">
        <w:rPr>
          <w:sz w:val="24"/>
          <w:szCs w:val="24"/>
        </w:rPr>
        <w:t xml:space="preserve">тендера </w:t>
      </w:r>
      <w:r w:rsidRPr="00C404E5">
        <w:rPr>
          <w:b/>
          <w:sz w:val="24"/>
          <w:szCs w:val="24"/>
        </w:rPr>
        <w:t xml:space="preserve">по закупу </w:t>
      </w:r>
      <w:r w:rsidR="00DD2ACE">
        <w:rPr>
          <w:b/>
          <w:sz w:val="24"/>
          <w:szCs w:val="24"/>
        </w:rPr>
        <w:t xml:space="preserve">медицинских изделий </w:t>
      </w:r>
      <w:r w:rsidR="00DD2ACE" w:rsidRPr="00DD2ACE">
        <w:rPr>
          <w:b/>
          <w:sz w:val="24"/>
          <w:szCs w:val="24"/>
        </w:rPr>
        <w:t>для отделения офтальмологии</w:t>
      </w:r>
      <w:r w:rsidR="002C00EF" w:rsidRPr="002C00EF">
        <w:rPr>
          <w:b/>
          <w:sz w:val="24"/>
          <w:szCs w:val="24"/>
        </w:rPr>
        <w:t xml:space="preserve">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8629D6" w:rsidRPr="00C404E5" w:rsidRDefault="008629D6" w:rsidP="008629D6">
      <w:pPr>
        <w:suppressAutoHyphens/>
        <w:ind w:firstLine="709"/>
        <w:jc w:val="both"/>
        <w:rPr>
          <w:sz w:val="24"/>
          <w:szCs w:val="24"/>
        </w:rPr>
      </w:pPr>
      <w:r w:rsidRPr="00C404E5">
        <w:rPr>
          <w:sz w:val="24"/>
          <w:szCs w:val="24"/>
        </w:rPr>
        <w:t xml:space="preserve">2. </w:t>
      </w:r>
      <w:r w:rsidR="00C803F8">
        <w:rPr>
          <w:sz w:val="24"/>
          <w:szCs w:val="24"/>
        </w:rPr>
        <w:t>Повторный т</w:t>
      </w:r>
      <w:r w:rsidRPr="00C404E5">
        <w:rPr>
          <w:sz w:val="24"/>
          <w:szCs w:val="24"/>
        </w:rPr>
        <w:t xml:space="preserve">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8629D6" w:rsidRPr="00C404E5" w:rsidRDefault="008629D6" w:rsidP="008629D6">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8629D6" w:rsidRPr="00C404E5" w:rsidRDefault="008629D6" w:rsidP="008629D6">
      <w:pPr>
        <w:suppressAutoHyphens/>
        <w:ind w:firstLine="709"/>
        <w:jc w:val="both"/>
        <w:rPr>
          <w:sz w:val="24"/>
          <w:szCs w:val="24"/>
        </w:rPr>
      </w:pPr>
    </w:p>
    <w:p w:rsidR="008629D6" w:rsidRPr="00C404E5" w:rsidRDefault="008629D6" w:rsidP="008629D6">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8629D6" w:rsidRPr="00C404E5" w:rsidRDefault="008629D6" w:rsidP="008629D6">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lastRenderedPageBreak/>
        <w:t>8) не должен нарушать патентных и иных прав и притязаний третьих лиц, связанных с реализацией лекарственных средств и медицинских изделий.</w:t>
      </w:r>
    </w:p>
    <w:p w:rsidR="008629D6" w:rsidRPr="00C404E5" w:rsidRDefault="008629D6" w:rsidP="008629D6">
      <w:pPr>
        <w:autoSpaceDE w:val="0"/>
        <w:autoSpaceDN w:val="0"/>
        <w:adjustRightInd w:val="0"/>
        <w:ind w:firstLine="709"/>
        <w:jc w:val="both"/>
        <w:rPr>
          <w:rStyle w:val="s0"/>
          <w:sz w:val="24"/>
          <w:szCs w:val="24"/>
        </w:rPr>
      </w:pPr>
      <w:r w:rsidRPr="00C404E5">
        <w:rPr>
          <w:sz w:val="24"/>
          <w:szCs w:val="24"/>
        </w:rPr>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8629D6" w:rsidRPr="00C404E5" w:rsidRDefault="008629D6" w:rsidP="008629D6">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8629D6" w:rsidRPr="00C404E5" w:rsidRDefault="008629D6" w:rsidP="008629D6">
      <w:pPr>
        <w:autoSpaceDE w:val="0"/>
        <w:autoSpaceDN w:val="0"/>
        <w:adjustRightInd w:val="0"/>
        <w:rPr>
          <w:rStyle w:val="s0"/>
          <w:sz w:val="24"/>
          <w:szCs w:val="24"/>
        </w:rPr>
      </w:pPr>
    </w:p>
    <w:p w:rsidR="008629D6" w:rsidRPr="00C404E5" w:rsidRDefault="008629D6" w:rsidP="00E81958">
      <w:pPr>
        <w:pStyle w:val="af6"/>
        <w:numPr>
          <w:ilvl w:val="0"/>
          <w:numId w:val="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w:t>
      </w:r>
      <w:r w:rsidRPr="00C404E5">
        <w:rPr>
          <w:rStyle w:val="s0"/>
          <w:sz w:val="24"/>
          <w:szCs w:val="24"/>
        </w:rPr>
        <w:lastRenderedPageBreak/>
        <w:t>бесплатной медицинской помощи и системе обязательного социального медицинского страхования.</w:t>
      </w:r>
    </w:p>
    <w:p w:rsidR="008629D6" w:rsidRPr="00C404E5" w:rsidRDefault="008629D6" w:rsidP="008629D6">
      <w:pPr>
        <w:pStyle w:val="31"/>
        <w:ind w:firstLine="709"/>
        <w:jc w:val="both"/>
        <w:rPr>
          <w:rStyle w:val="s0"/>
          <w:sz w:val="24"/>
          <w:szCs w:val="24"/>
        </w:rPr>
      </w:pPr>
    </w:p>
    <w:p w:rsidR="008629D6" w:rsidRPr="00C404E5" w:rsidRDefault="008629D6" w:rsidP="008629D6">
      <w:pPr>
        <w:pStyle w:val="Iauiue"/>
        <w:widowControl/>
        <w:jc w:val="center"/>
        <w:rPr>
          <w:b/>
          <w:sz w:val="24"/>
          <w:szCs w:val="24"/>
        </w:rPr>
      </w:pPr>
      <w:r w:rsidRPr="00C404E5">
        <w:rPr>
          <w:b/>
          <w:sz w:val="24"/>
          <w:szCs w:val="24"/>
        </w:rPr>
        <w:t>4. Язык тендерной заявки</w:t>
      </w:r>
    </w:p>
    <w:p w:rsidR="008629D6" w:rsidRPr="00C404E5" w:rsidRDefault="008629D6" w:rsidP="008629D6">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8629D6" w:rsidRPr="00C404E5" w:rsidRDefault="008629D6" w:rsidP="008629D6">
      <w:pPr>
        <w:pStyle w:val="Iauiue"/>
        <w:widowControl/>
        <w:ind w:firstLine="709"/>
        <w:jc w:val="both"/>
        <w:rPr>
          <w:i/>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5. Валюта тендерной  заявки и платежа</w:t>
      </w:r>
    </w:p>
    <w:p w:rsidR="008629D6" w:rsidRPr="00C404E5" w:rsidRDefault="008629D6" w:rsidP="008629D6">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8629D6" w:rsidRPr="00C404E5" w:rsidRDefault="008629D6" w:rsidP="008629D6">
      <w:pPr>
        <w:pStyle w:val="Iauiue"/>
        <w:widowControl/>
        <w:rPr>
          <w:b/>
          <w:sz w:val="24"/>
          <w:szCs w:val="24"/>
        </w:rPr>
      </w:pPr>
    </w:p>
    <w:p w:rsidR="008629D6" w:rsidRPr="00C404E5" w:rsidRDefault="008629D6" w:rsidP="008629D6">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8629D6" w:rsidRPr="00C404E5" w:rsidRDefault="008629D6" w:rsidP="008629D6">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8629D6" w:rsidRPr="00C404E5" w:rsidRDefault="008629D6" w:rsidP="008629D6">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629D6" w:rsidRPr="00C404E5" w:rsidRDefault="008629D6" w:rsidP="008629D6">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629D6" w:rsidRPr="00C404E5" w:rsidRDefault="008629D6" w:rsidP="008629D6">
      <w:pPr>
        <w:pStyle w:val="-2"/>
        <w:tabs>
          <w:tab w:val="left" w:pos="567"/>
        </w:tabs>
        <w:ind w:firstLine="0"/>
        <w:rPr>
          <w:rFonts w:ascii="Times New Roman" w:hAnsi="Times New Roman"/>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8629D6" w:rsidRPr="00C404E5" w:rsidRDefault="008629D6" w:rsidP="008629D6">
      <w:pPr>
        <w:pStyle w:val="a4"/>
        <w:tabs>
          <w:tab w:val="clear" w:pos="0"/>
        </w:tabs>
        <w:ind w:firstLine="709"/>
        <w:rPr>
          <w:color w:val="000000"/>
          <w:sz w:val="24"/>
          <w:szCs w:val="24"/>
        </w:rPr>
      </w:pPr>
      <w:r w:rsidRPr="00C404E5">
        <w:rPr>
          <w:sz w:val="24"/>
          <w:szCs w:val="24"/>
        </w:rPr>
        <w:t xml:space="preserve">15. Потенциальный поставщик, изъявивший желание участвовать в </w:t>
      </w:r>
      <w:r w:rsidR="00C803F8">
        <w:rPr>
          <w:sz w:val="24"/>
          <w:szCs w:val="24"/>
        </w:rPr>
        <w:t xml:space="preserve">повторном </w:t>
      </w:r>
      <w:r w:rsidRPr="00C404E5">
        <w:rPr>
          <w:sz w:val="24"/>
          <w:szCs w:val="24"/>
        </w:rPr>
        <w:t>т</w:t>
      </w:r>
      <w:r w:rsidR="00C803F8">
        <w:rPr>
          <w:sz w:val="24"/>
          <w:szCs w:val="24"/>
        </w:rPr>
        <w:t xml:space="preserve">ендере, </w:t>
      </w:r>
      <w:r w:rsidRPr="00C404E5">
        <w:rPr>
          <w:sz w:val="24"/>
          <w:szCs w:val="24"/>
        </w:rPr>
        <w:t>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8629D6" w:rsidRPr="00C404E5" w:rsidRDefault="008629D6" w:rsidP="008629D6">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8629D6" w:rsidRPr="00C404E5" w:rsidRDefault="008629D6" w:rsidP="008629D6">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8629D6" w:rsidRPr="00C404E5" w:rsidRDefault="008629D6" w:rsidP="008629D6">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w:t>
      </w:r>
      <w:r w:rsidRPr="00C404E5">
        <w:rPr>
          <w:sz w:val="24"/>
          <w:szCs w:val="24"/>
        </w:rPr>
        <w:lastRenderedPageBreak/>
        <w:t>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 xml:space="preserve">Тендерная документация, предоставляемая организатором </w:t>
      </w:r>
      <w:r w:rsidR="00C803F8">
        <w:rPr>
          <w:sz w:val="24"/>
          <w:szCs w:val="24"/>
        </w:rPr>
        <w:t xml:space="preserve">повторного </w:t>
      </w:r>
      <w:r w:rsidRPr="00C404E5">
        <w:rPr>
          <w:sz w:val="24"/>
          <w:szCs w:val="24"/>
        </w:rPr>
        <w:t>тендера потенциальным поставщикам, содержит:</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8629D6" w:rsidRPr="00C404E5" w:rsidRDefault="008629D6" w:rsidP="008629D6">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8629D6" w:rsidRPr="00C404E5" w:rsidRDefault="008629D6" w:rsidP="008629D6">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8629D6" w:rsidRPr="00C404E5" w:rsidRDefault="008629D6" w:rsidP="008629D6">
      <w:pPr>
        <w:ind w:firstLine="709"/>
        <w:jc w:val="both"/>
        <w:rPr>
          <w:sz w:val="24"/>
          <w:szCs w:val="24"/>
        </w:rPr>
      </w:pPr>
      <w:r w:rsidRPr="00C404E5">
        <w:rPr>
          <w:sz w:val="24"/>
          <w:szCs w:val="24"/>
        </w:rPr>
        <w:t xml:space="preserve">4) Форму Заявки на участие в </w:t>
      </w:r>
      <w:r w:rsidR="00C803F8">
        <w:rPr>
          <w:sz w:val="24"/>
          <w:szCs w:val="24"/>
        </w:rPr>
        <w:t xml:space="preserve">повторном </w:t>
      </w:r>
      <w:r w:rsidRPr="00C404E5">
        <w:rPr>
          <w:sz w:val="24"/>
          <w:szCs w:val="24"/>
        </w:rPr>
        <w:t xml:space="preserve">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8629D6" w:rsidRPr="00C404E5" w:rsidRDefault="008629D6" w:rsidP="008629D6">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8629D6" w:rsidRPr="00C404E5" w:rsidRDefault="008629D6" w:rsidP="008629D6">
      <w:pPr>
        <w:ind w:firstLine="709"/>
        <w:jc w:val="both"/>
        <w:rPr>
          <w:sz w:val="24"/>
          <w:szCs w:val="24"/>
        </w:rPr>
      </w:pPr>
      <w:r w:rsidRPr="00C404E5">
        <w:rPr>
          <w:sz w:val="24"/>
          <w:szCs w:val="24"/>
        </w:rPr>
        <w:t xml:space="preserve">7)  Форму  Таблицы  цен </w:t>
      </w:r>
      <w:r w:rsidRPr="00C404E5">
        <w:rPr>
          <w:sz w:val="24"/>
          <w:szCs w:val="24"/>
          <w:lang w:val="ru-MO"/>
        </w:rPr>
        <w:t xml:space="preserve"> </w:t>
      </w:r>
      <w:r w:rsidRPr="00C404E5">
        <w:rPr>
          <w:color w:val="FF0000"/>
          <w:sz w:val="24"/>
          <w:szCs w:val="24"/>
        </w:rPr>
        <w:t>(приложение 6)</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8629D6" w:rsidRPr="00C404E5" w:rsidRDefault="008629D6" w:rsidP="008629D6">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8629D6" w:rsidRPr="00C404E5" w:rsidRDefault="008629D6" w:rsidP="008629D6">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 заявку на участие в </w:t>
      </w:r>
      <w:r w:rsidR="00C803F8">
        <w:t xml:space="preserve">повторном </w:t>
      </w:r>
      <w:r w:rsidRPr="00C404E5">
        <w:t>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w:t>
      </w:r>
      <w:r w:rsidRPr="00C404E5">
        <w:lastRenderedPageBreak/>
        <w:t>"электронного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pPr>
      <w:proofErr w:type="gramStart"/>
      <w:r w:rsidRPr="00C404E5">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12) сопутствующие услуги;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8629D6" w:rsidRDefault="008629D6" w:rsidP="008629D6">
      <w:pPr>
        <w:pStyle w:val="af3"/>
        <w:shd w:val="clear" w:color="auto" w:fill="FFFFFF"/>
        <w:spacing w:before="0" w:beforeAutospacing="0" w:after="0" w:afterAutospacing="0"/>
        <w:ind w:firstLine="709"/>
        <w:jc w:val="both"/>
        <w:textAlignment w:val="baseline"/>
      </w:pPr>
      <w:r w:rsidRPr="00C404E5">
        <w:lastRenderedPageBreak/>
        <w:t>17) письмо о согласии на расторжение договора закупа в случае выявления фактов, указанных в пункте 9 Правил.</w:t>
      </w:r>
    </w:p>
    <w:p w:rsidR="00F22F3F" w:rsidRPr="00C404E5" w:rsidRDefault="00F22F3F" w:rsidP="008629D6">
      <w:pPr>
        <w:pStyle w:val="af3"/>
        <w:shd w:val="clear" w:color="auto" w:fill="FFFFFF"/>
        <w:spacing w:before="0" w:beforeAutospacing="0" w:after="0" w:afterAutospacing="0"/>
        <w:ind w:firstLine="709"/>
        <w:jc w:val="both"/>
        <w:textAlignment w:val="baseline"/>
      </w:pPr>
      <w:r>
        <w:t xml:space="preserve">18) </w:t>
      </w:r>
      <w:r w:rsidRPr="00F22F3F">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8629D6" w:rsidRPr="00C404E5" w:rsidRDefault="008629D6" w:rsidP="008629D6">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8629D6" w:rsidRPr="00C404E5" w:rsidRDefault="008629D6" w:rsidP="008629D6">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8629D6" w:rsidRPr="00C404E5" w:rsidRDefault="008629D6" w:rsidP="008629D6">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629D6" w:rsidRPr="00C404E5" w:rsidRDefault="008629D6" w:rsidP="008629D6">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8629D6" w:rsidRPr="00273ABC" w:rsidRDefault="008629D6" w:rsidP="008629D6">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273ABC">
        <w:rPr>
          <w:b/>
          <w:sz w:val="24"/>
          <w:szCs w:val="24"/>
        </w:rPr>
        <w:t>«</w:t>
      </w:r>
      <w:r w:rsidR="00C803F8">
        <w:rPr>
          <w:b/>
          <w:sz w:val="24"/>
          <w:szCs w:val="24"/>
        </w:rPr>
        <w:t>Повторный т</w:t>
      </w:r>
      <w:r w:rsidRPr="00273ABC">
        <w:rPr>
          <w:b/>
          <w:sz w:val="24"/>
          <w:szCs w:val="24"/>
        </w:rPr>
        <w:t xml:space="preserve">ендер </w:t>
      </w:r>
      <w:r w:rsidR="00340BA3" w:rsidRPr="00273ABC">
        <w:rPr>
          <w:b/>
          <w:sz w:val="24"/>
          <w:szCs w:val="24"/>
        </w:rPr>
        <w:t xml:space="preserve">по </w:t>
      </w:r>
      <w:r w:rsidR="00DD2ACE" w:rsidRPr="00DD2ACE">
        <w:rPr>
          <w:b/>
          <w:sz w:val="24"/>
          <w:szCs w:val="24"/>
        </w:rPr>
        <w:t>закупу медицинских изделий для отделения офтальмологии на 2020 год</w:t>
      </w:r>
      <w:r w:rsidRPr="00273ABC">
        <w:rPr>
          <w:b/>
          <w:sz w:val="24"/>
          <w:szCs w:val="24"/>
        </w:rPr>
        <w:t xml:space="preserve">» и «Не вскрывать до 12:00 часов </w:t>
      </w:r>
      <w:r w:rsidR="00C803F8">
        <w:rPr>
          <w:b/>
          <w:sz w:val="24"/>
          <w:szCs w:val="24"/>
        </w:rPr>
        <w:t>11 марта</w:t>
      </w:r>
      <w:r w:rsidRPr="00273ABC">
        <w:rPr>
          <w:b/>
          <w:sz w:val="24"/>
          <w:szCs w:val="24"/>
          <w:lang w:val="kk-KZ"/>
        </w:rPr>
        <w:t xml:space="preserve"> </w:t>
      </w:r>
      <w:r w:rsidRPr="00273ABC">
        <w:rPr>
          <w:b/>
          <w:sz w:val="24"/>
          <w:szCs w:val="24"/>
        </w:rPr>
        <w:t>2020 года».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8629D6" w:rsidRPr="00C404E5" w:rsidRDefault="008629D6" w:rsidP="008629D6">
      <w:pPr>
        <w:pStyle w:val="a4"/>
        <w:ind w:firstLine="709"/>
        <w:rPr>
          <w:sz w:val="24"/>
          <w:szCs w:val="24"/>
        </w:rPr>
      </w:pPr>
      <w:r w:rsidRPr="00C404E5">
        <w:rPr>
          <w:sz w:val="24"/>
          <w:szCs w:val="24"/>
        </w:rPr>
        <w:t>29. Тендерная документация предоставляется бесплатно.</w:t>
      </w:r>
    </w:p>
    <w:p w:rsidR="008629D6" w:rsidRPr="00C404E5" w:rsidRDefault="008629D6" w:rsidP="008629D6">
      <w:pPr>
        <w:pStyle w:val="a4"/>
        <w:rPr>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8. Гарантийное обеспечение  тендерной  заявки</w:t>
      </w:r>
    </w:p>
    <w:p w:rsidR="008629D6" w:rsidRPr="00C404E5" w:rsidRDefault="008629D6" w:rsidP="008629D6">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8629D6" w:rsidRPr="00C404E5" w:rsidRDefault="008629D6" w:rsidP="008629D6">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8629D6" w:rsidRPr="00C404E5" w:rsidRDefault="008629D6" w:rsidP="008629D6">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10"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8629D6" w:rsidRPr="00C404E5" w:rsidRDefault="008629D6" w:rsidP="008629D6">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8629D6" w:rsidRPr="00C404E5" w:rsidRDefault="008629D6" w:rsidP="008629D6">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629D6" w:rsidRPr="00C404E5" w:rsidRDefault="008629D6" w:rsidP="008629D6">
      <w:pPr>
        <w:pStyle w:val="Iauiue"/>
        <w:widowControl/>
        <w:ind w:firstLine="709"/>
        <w:jc w:val="both"/>
        <w:rPr>
          <w:b/>
          <w:sz w:val="24"/>
          <w:szCs w:val="24"/>
          <w:lang w:val="kk-KZ"/>
        </w:rPr>
      </w:pPr>
      <w:r w:rsidRPr="00C404E5">
        <w:rPr>
          <w:b/>
          <w:sz w:val="24"/>
          <w:szCs w:val="24"/>
        </w:rPr>
        <w:lastRenderedPageBreak/>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8629D6" w:rsidRPr="00C404E5" w:rsidRDefault="008629D6" w:rsidP="008629D6">
      <w:pPr>
        <w:pStyle w:val="Iauiue"/>
        <w:widowControl/>
        <w:ind w:firstLine="709"/>
        <w:jc w:val="both"/>
        <w:rPr>
          <w:sz w:val="24"/>
          <w:szCs w:val="24"/>
        </w:rPr>
      </w:pPr>
      <w:r w:rsidRPr="00C404E5">
        <w:rPr>
          <w:sz w:val="24"/>
          <w:szCs w:val="24"/>
        </w:rPr>
        <w:t>Срок действия гарантийного обеспечения составляет не менее срока действия тендерной заявки.</w:t>
      </w:r>
    </w:p>
    <w:p w:rsidR="008629D6" w:rsidRPr="00C404E5" w:rsidRDefault="008629D6" w:rsidP="008629D6">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0" w:name="z274"/>
      <w:bookmarkEnd w:id="0"/>
    </w:p>
    <w:p w:rsidR="008629D6" w:rsidRPr="00C404E5" w:rsidRDefault="008629D6" w:rsidP="008629D6">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1" w:name="z275"/>
      <w:bookmarkEnd w:id="1"/>
    </w:p>
    <w:p w:rsidR="008629D6" w:rsidRPr="00C404E5" w:rsidRDefault="008629D6" w:rsidP="008629D6">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2" w:name="z276"/>
      <w:bookmarkEnd w:id="2"/>
    </w:p>
    <w:p w:rsidR="008629D6" w:rsidRPr="00C404E5" w:rsidRDefault="008629D6" w:rsidP="008629D6">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3" w:name="z277"/>
      <w:bookmarkEnd w:id="3"/>
    </w:p>
    <w:p w:rsidR="008629D6" w:rsidRPr="00C404E5" w:rsidRDefault="008629D6" w:rsidP="008629D6">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4" w:name="z278"/>
      <w:bookmarkEnd w:id="4"/>
    </w:p>
    <w:p w:rsidR="008629D6" w:rsidRPr="00C404E5" w:rsidRDefault="008629D6" w:rsidP="008629D6">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5" w:name="z279"/>
      <w:bookmarkEnd w:id="5"/>
    </w:p>
    <w:p w:rsidR="008629D6" w:rsidRPr="00C404E5" w:rsidRDefault="008629D6" w:rsidP="008629D6">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8629D6" w:rsidRPr="00C404E5" w:rsidRDefault="008629D6" w:rsidP="008629D6">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6" w:name="z281"/>
      <w:bookmarkEnd w:id="6"/>
      <w:r w:rsidRPr="00C404E5">
        <w:t>:</w:t>
      </w:r>
    </w:p>
    <w:p w:rsidR="008629D6" w:rsidRPr="00C404E5" w:rsidRDefault="008629D6" w:rsidP="008629D6">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7" w:name="z282"/>
      <w:bookmarkEnd w:id="7"/>
    </w:p>
    <w:p w:rsidR="008629D6" w:rsidRPr="00C404E5" w:rsidRDefault="008629D6" w:rsidP="008629D6">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8629D6" w:rsidRPr="00C404E5" w:rsidRDefault="008629D6" w:rsidP="008629D6">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8629D6" w:rsidRPr="00C404E5" w:rsidRDefault="008629D6" w:rsidP="008629D6">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8629D6" w:rsidRPr="00C404E5" w:rsidRDefault="008629D6" w:rsidP="008629D6">
      <w:pPr>
        <w:pStyle w:val="Iauiue"/>
        <w:widowControl/>
        <w:jc w:val="both"/>
        <w:rPr>
          <w:b/>
          <w:sz w:val="24"/>
          <w:szCs w:val="24"/>
        </w:rPr>
      </w:pPr>
    </w:p>
    <w:p w:rsidR="008629D6" w:rsidRPr="00C404E5" w:rsidRDefault="008629D6" w:rsidP="008629D6">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8629D6" w:rsidRPr="00C404E5" w:rsidRDefault="008629D6" w:rsidP="008629D6">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C803F8">
        <w:rPr>
          <w:b/>
          <w:sz w:val="24"/>
          <w:szCs w:val="24"/>
          <w:lang w:val="kk-KZ"/>
        </w:rPr>
        <w:t>11 марта</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8629D6" w:rsidRPr="00C404E5" w:rsidRDefault="008629D6" w:rsidP="008629D6">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8629D6" w:rsidRPr="00C404E5" w:rsidRDefault="008629D6" w:rsidP="008629D6">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C803F8">
        <w:rPr>
          <w:b/>
          <w:sz w:val="24"/>
          <w:szCs w:val="24"/>
          <w:lang w:val="kk-KZ"/>
        </w:rPr>
        <w:t>11 марта</w:t>
      </w:r>
      <w:r w:rsidR="00D831A1">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8629D6" w:rsidRPr="00C404E5" w:rsidRDefault="008629D6" w:rsidP="008629D6">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8629D6" w:rsidRPr="00C404E5" w:rsidRDefault="008629D6" w:rsidP="008629D6">
      <w:pPr>
        <w:pStyle w:val="a4"/>
        <w:tabs>
          <w:tab w:val="clear" w:pos="0"/>
        </w:tabs>
        <w:ind w:firstLine="709"/>
        <w:rPr>
          <w:snapToGrid w:val="0"/>
          <w:sz w:val="24"/>
          <w:szCs w:val="24"/>
        </w:rPr>
      </w:pPr>
      <w:r w:rsidRPr="00C404E5">
        <w:rPr>
          <w:snapToGrid w:val="0"/>
          <w:sz w:val="24"/>
          <w:szCs w:val="24"/>
        </w:rPr>
        <w:lastRenderedPageBreak/>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8629D6" w:rsidRPr="00C404E5" w:rsidRDefault="008629D6" w:rsidP="008629D6">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8629D6" w:rsidRPr="00C404E5" w:rsidRDefault="008629D6" w:rsidP="008629D6">
      <w:pPr>
        <w:pStyle w:val="31"/>
        <w:ind w:firstLine="0"/>
        <w:jc w:val="both"/>
        <w:rPr>
          <w:color w:val="000000"/>
          <w:sz w:val="24"/>
          <w:szCs w:val="24"/>
        </w:rPr>
      </w:pPr>
    </w:p>
    <w:p w:rsidR="008629D6" w:rsidRPr="00C404E5" w:rsidRDefault="008629D6" w:rsidP="008629D6">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b/>
          <w:color w:val="FF0000"/>
        </w:rPr>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8629D6" w:rsidRPr="00C404E5" w:rsidRDefault="008629D6" w:rsidP="008629D6">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8629D6" w:rsidRPr="00C404E5" w:rsidRDefault="008629D6" w:rsidP="008629D6">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629D6" w:rsidRPr="00C404E5" w:rsidRDefault="008629D6" w:rsidP="008629D6">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8629D6" w:rsidRPr="00C404E5" w:rsidRDefault="008629D6" w:rsidP="008629D6">
      <w:pPr>
        <w:pStyle w:val="a4"/>
        <w:ind w:firstLine="709"/>
        <w:rPr>
          <w:sz w:val="24"/>
          <w:szCs w:val="24"/>
        </w:rPr>
      </w:pPr>
      <w:r w:rsidRPr="00C404E5">
        <w:rPr>
          <w:sz w:val="24"/>
          <w:szCs w:val="24"/>
        </w:rPr>
        <w:t>1) отсутствия представленных тендерных заявок;</w:t>
      </w:r>
      <w:bookmarkStart w:id="8" w:name="z325"/>
      <w:bookmarkEnd w:id="8"/>
    </w:p>
    <w:p w:rsidR="008629D6" w:rsidRPr="00C404E5" w:rsidRDefault="008629D6" w:rsidP="008629D6">
      <w:pPr>
        <w:pStyle w:val="a4"/>
        <w:ind w:firstLine="709"/>
        <w:rPr>
          <w:sz w:val="24"/>
          <w:szCs w:val="24"/>
        </w:rPr>
      </w:pPr>
      <w:r w:rsidRPr="00C404E5">
        <w:rPr>
          <w:sz w:val="24"/>
          <w:szCs w:val="24"/>
        </w:rPr>
        <w:t>2) представления менее двух тендерных заявок;</w:t>
      </w:r>
      <w:bookmarkStart w:id="9" w:name="z326"/>
      <w:bookmarkEnd w:id="9"/>
    </w:p>
    <w:p w:rsidR="008629D6" w:rsidRPr="00C404E5" w:rsidRDefault="008629D6" w:rsidP="008629D6">
      <w:pPr>
        <w:pStyle w:val="a4"/>
        <w:ind w:firstLine="709"/>
        <w:rPr>
          <w:sz w:val="24"/>
          <w:szCs w:val="24"/>
        </w:rPr>
      </w:pPr>
      <w:r w:rsidRPr="00C404E5">
        <w:rPr>
          <w:sz w:val="24"/>
          <w:szCs w:val="24"/>
        </w:rPr>
        <w:t>3) если не допущен ни один потенциальный поставщик;</w:t>
      </w:r>
      <w:bookmarkStart w:id="10" w:name="z327"/>
      <w:bookmarkEnd w:id="10"/>
    </w:p>
    <w:p w:rsidR="008629D6" w:rsidRPr="00C404E5" w:rsidRDefault="008629D6" w:rsidP="008629D6">
      <w:pPr>
        <w:pStyle w:val="a4"/>
        <w:ind w:firstLine="709"/>
        <w:rPr>
          <w:sz w:val="24"/>
          <w:szCs w:val="24"/>
        </w:rPr>
      </w:pPr>
      <w:r w:rsidRPr="00C404E5">
        <w:rPr>
          <w:sz w:val="24"/>
          <w:szCs w:val="24"/>
        </w:rPr>
        <w:t>4) если допущен один потенциальный поставщик.</w:t>
      </w:r>
    </w:p>
    <w:p w:rsidR="008629D6" w:rsidRPr="00C404E5" w:rsidRDefault="008629D6" w:rsidP="008629D6">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8629D6" w:rsidRPr="00C404E5" w:rsidRDefault="008629D6" w:rsidP="008629D6">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629D6" w:rsidRPr="00C404E5" w:rsidRDefault="008629D6" w:rsidP="008629D6">
      <w:pPr>
        <w:ind w:firstLine="709"/>
        <w:jc w:val="both"/>
        <w:rPr>
          <w:sz w:val="24"/>
          <w:szCs w:val="24"/>
        </w:rPr>
      </w:pPr>
      <w:r w:rsidRPr="00C404E5">
        <w:rPr>
          <w:sz w:val="24"/>
          <w:szCs w:val="24"/>
        </w:rPr>
        <w:t>46. Победитель тендера определяется на основе наименьшей цены.</w:t>
      </w:r>
    </w:p>
    <w:p w:rsidR="008629D6" w:rsidRPr="00C404E5" w:rsidRDefault="008629D6" w:rsidP="008629D6">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8629D6" w:rsidRPr="00C404E5" w:rsidRDefault="008629D6" w:rsidP="008629D6">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8629D6" w:rsidRPr="00C404E5" w:rsidRDefault="008629D6" w:rsidP="008629D6">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w:t>
      </w:r>
      <w:r w:rsidRPr="00C404E5">
        <w:rPr>
          <w:sz w:val="24"/>
          <w:szCs w:val="24"/>
        </w:rPr>
        <w:lastRenderedPageBreak/>
        <w:t>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629D6" w:rsidRPr="00C404E5" w:rsidRDefault="008629D6" w:rsidP="008629D6">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8629D6" w:rsidRPr="00C404E5" w:rsidRDefault="008629D6" w:rsidP="008629D6">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8629D6" w:rsidRPr="00C404E5" w:rsidRDefault="008629D6" w:rsidP="008629D6">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8629D6" w:rsidRPr="00C404E5" w:rsidRDefault="008629D6" w:rsidP="008629D6">
      <w:pPr>
        <w:jc w:val="both"/>
        <w:rPr>
          <w:b/>
          <w:sz w:val="24"/>
          <w:szCs w:val="24"/>
        </w:rPr>
      </w:pPr>
    </w:p>
    <w:p w:rsidR="008629D6" w:rsidRPr="00C404E5" w:rsidRDefault="008629D6" w:rsidP="008629D6">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8629D6" w:rsidRPr="00C404E5" w:rsidRDefault="008629D6" w:rsidP="008629D6">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629D6" w:rsidRPr="00C404E5" w:rsidRDefault="008629D6" w:rsidP="008629D6">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629D6" w:rsidRPr="00C404E5" w:rsidRDefault="008629D6" w:rsidP="008629D6">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8629D6" w:rsidRPr="00C404E5" w:rsidRDefault="008629D6" w:rsidP="008629D6">
      <w:pPr>
        <w:ind w:firstLine="720"/>
        <w:jc w:val="both"/>
        <w:rPr>
          <w:sz w:val="24"/>
          <w:szCs w:val="24"/>
        </w:rPr>
      </w:pPr>
      <w:r w:rsidRPr="00C404E5">
        <w:rPr>
          <w:sz w:val="24"/>
          <w:szCs w:val="24"/>
        </w:rPr>
        <w:t>3) надлежащей аптечной практики (GPP) при закупе фармацевтических услуг.</w:t>
      </w:r>
    </w:p>
    <w:p w:rsidR="008629D6" w:rsidRPr="00C404E5" w:rsidRDefault="008629D6" w:rsidP="008629D6">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8629D6" w:rsidRPr="00C404E5" w:rsidRDefault="008629D6" w:rsidP="008629D6">
      <w:pPr>
        <w:ind w:firstLine="720"/>
        <w:jc w:val="both"/>
        <w:rPr>
          <w:sz w:val="24"/>
          <w:szCs w:val="24"/>
        </w:rPr>
      </w:pPr>
      <w:r w:rsidRPr="00C404E5">
        <w:rPr>
          <w:sz w:val="24"/>
          <w:szCs w:val="24"/>
        </w:rPr>
        <w:lastRenderedPageBreak/>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8629D6" w:rsidRPr="00C404E5" w:rsidRDefault="008629D6" w:rsidP="008629D6">
      <w:pPr>
        <w:ind w:firstLine="720"/>
        <w:jc w:val="both"/>
        <w:rPr>
          <w:sz w:val="24"/>
          <w:szCs w:val="24"/>
        </w:rPr>
      </w:pPr>
      <w:r w:rsidRPr="00C404E5">
        <w:rPr>
          <w:sz w:val="24"/>
          <w:szCs w:val="24"/>
        </w:rPr>
        <w:t xml:space="preserve">56. </w:t>
      </w:r>
      <w:proofErr w:type="gramStart"/>
      <w:r w:rsidRPr="00C404E5">
        <w:rPr>
          <w:sz w:val="24"/>
          <w:szCs w:val="24"/>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Pr="00C404E5">
        <w:rPr>
          <w:sz w:val="24"/>
          <w:szCs w:val="24"/>
          <w:lang w:val="ru-MO"/>
        </w:rPr>
        <w:t xml:space="preserve"> </w:t>
      </w:r>
      <w:r w:rsidRPr="00C404E5">
        <w:rPr>
          <w:sz w:val="24"/>
          <w:szCs w:val="24"/>
        </w:rPr>
        <w:t xml:space="preserve"> которого является </w:t>
      </w:r>
      <w:r w:rsidRPr="00C404E5">
        <w:rPr>
          <w:sz w:val="24"/>
          <w:szCs w:val="24"/>
          <w:lang w:val="ru-MO"/>
        </w:rPr>
        <w:t xml:space="preserve"> </w:t>
      </w:r>
      <w:r w:rsidRPr="00C404E5">
        <w:rPr>
          <w:sz w:val="24"/>
          <w:szCs w:val="24"/>
        </w:rPr>
        <w:t xml:space="preserve">предпочтительным после предложения победителя тендера. </w:t>
      </w:r>
    </w:p>
    <w:p w:rsidR="008629D6" w:rsidRPr="00C404E5" w:rsidRDefault="008629D6" w:rsidP="008629D6">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8629D6" w:rsidRPr="00C404E5" w:rsidRDefault="008629D6" w:rsidP="008629D6">
      <w:pPr>
        <w:pStyle w:val="a4"/>
        <w:ind w:firstLine="567"/>
        <w:rPr>
          <w:sz w:val="24"/>
          <w:szCs w:val="24"/>
        </w:rPr>
      </w:pPr>
      <w:r w:rsidRPr="00C404E5">
        <w:rPr>
          <w:sz w:val="24"/>
          <w:szCs w:val="24"/>
        </w:rPr>
        <w:tab/>
      </w:r>
    </w:p>
    <w:p w:rsidR="008629D6" w:rsidRPr="00C404E5" w:rsidRDefault="008629D6" w:rsidP="008629D6">
      <w:pPr>
        <w:pStyle w:val="Iauiue"/>
        <w:widowControl/>
        <w:ind w:left="2694"/>
        <w:jc w:val="both"/>
        <w:rPr>
          <w:b/>
          <w:sz w:val="24"/>
          <w:szCs w:val="24"/>
          <w:lang w:val="kk-KZ"/>
        </w:rPr>
      </w:pPr>
      <w:r w:rsidRPr="00C404E5">
        <w:rPr>
          <w:b/>
          <w:sz w:val="24"/>
          <w:szCs w:val="24"/>
        </w:rPr>
        <w:t>13. Заключение  договора  о  закупках</w:t>
      </w:r>
    </w:p>
    <w:p w:rsidR="008629D6" w:rsidRPr="00C404E5" w:rsidRDefault="008629D6" w:rsidP="008629D6">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8629D6" w:rsidRPr="00C404E5" w:rsidRDefault="008629D6" w:rsidP="008629D6">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629D6" w:rsidRPr="00C404E5" w:rsidRDefault="008629D6" w:rsidP="008629D6">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629D6" w:rsidRPr="00C404E5" w:rsidRDefault="008629D6" w:rsidP="008629D6">
      <w:pPr>
        <w:autoSpaceDE w:val="0"/>
        <w:autoSpaceDN w:val="0"/>
        <w:adjustRightInd w:val="0"/>
        <w:ind w:firstLine="720"/>
        <w:jc w:val="both"/>
        <w:rPr>
          <w:sz w:val="24"/>
          <w:szCs w:val="24"/>
        </w:rPr>
      </w:pPr>
      <w:r w:rsidRPr="00C404E5">
        <w:rPr>
          <w:sz w:val="24"/>
          <w:szCs w:val="24"/>
        </w:rPr>
        <w:lastRenderedPageBreak/>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629D6" w:rsidRPr="00C404E5" w:rsidRDefault="008629D6" w:rsidP="008629D6">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629D6" w:rsidRPr="00C404E5" w:rsidRDefault="008629D6" w:rsidP="008629D6">
      <w:pPr>
        <w:autoSpaceDE w:val="0"/>
        <w:autoSpaceDN w:val="0"/>
        <w:adjustRightInd w:val="0"/>
        <w:ind w:firstLine="720"/>
        <w:jc w:val="both"/>
        <w:rPr>
          <w:sz w:val="24"/>
          <w:szCs w:val="24"/>
        </w:rPr>
      </w:pPr>
      <w:r w:rsidRPr="00C404E5">
        <w:rPr>
          <w:sz w:val="24"/>
          <w:szCs w:val="24"/>
        </w:rPr>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8629D6" w:rsidRPr="00C404E5" w:rsidRDefault="008629D6" w:rsidP="008629D6">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8629D6" w:rsidRPr="00C404E5" w:rsidRDefault="008629D6" w:rsidP="008629D6">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8629D6" w:rsidRPr="00C404E5" w:rsidRDefault="008629D6" w:rsidP="008629D6">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8629D6" w:rsidRPr="00C404E5" w:rsidRDefault="008629D6" w:rsidP="008629D6">
      <w:pPr>
        <w:ind w:firstLine="720"/>
        <w:jc w:val="both"/>
        <w:rPr>
          <w:sz w:val="24"/>
          <w:szCs w:val="24"/>
        </w:rPr>
      </w:pPr>
    </w:p>
    <w:p w:rsidR="008629D6" w:rsidRPr="00C404E5" w:rsidRDefault="008629D6" w:rsidP="008629D6">
      <w:pPr>
        <w:pStyle w:val="Iauiue"/>
        <w:widowControl/>
        <w:jc w:val="center"/>
        <w:rPr>
          <w:b/>
          <w:sz w:val="24"/>
          <w:szCs w:val="24"/>
        </w:rPr>
      </w:pPr>
      <w:r w:rsidRPr="00C404E5">
        <w:rPr>
          <w:b/>
          <w:sz w:val="24"/>
          <w:szCs w:val="24"/>
        </w:rPr>
        <w:t>14. Обеспечение  исполнения  договора</w:t>
      </w:r>
      <w:r w:rsidRPr="00C404E5">
        <w:rPr>
          <w:b/>
          <w:sz w:val="24"/>
          <w:szCs w:val="24"/>
          <w:lang w:val="ru-MO"/>
        </w:rPr>
        <w:t xml:space="preserve">  </w:t>
      </w:r>
      <w:r w:rsidRPr="00C404E5">
        <w:rPr>
          <w:b/>
          <w:sz w:val="24"/>
          <w:szCs w:val="24"/>
        </w:rPr>
        <w:t>о  закупе</w:t>
      </w:r>
    </w:p>
    <w:p w:rsidR="008629D6" w:rsidRPr="00C404E5" w:rsidRDefault="008629D6" w:rsidP="008629D6">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8629D6" w:rsidRPr="00C404E5" w:rsidRDefault="008629D6" w:rsidP="008629D6">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8629D6" w:rsidRPr="00C404E5" w:rsidRDefault="008629D6" w:rsidP="008629D6">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8629D6" w:rsidRPr="00C404E5" w:rsidRDefault="008629D6" w:rsidP="008629D6">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8629D6" w:rsidRPr="00C404E5" w:rsidRDefault="008629D6" w:rsidP="008629D6">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8629D6" w:rsidRPr="00C404E5" w:rsidRDefault="008629D6" w:rsidP="008629D6">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8629D6" w:rsidRPr="00C404E5" w:rsidRDefault="008629D6" w:rsidP="008629D6">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8629D6" w:rsidRPr="00C404E5" w:rsidRDefault="008629D6" w:rsidP="008629D6">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1" w:name="z363"/>
      <w:bookmarkEnd w:id="11"/>
    </w:p>
    <w:p w:rsidR="008629D6" w:rsidRPr="00C404E5" w:rsidRDefault="008629D6" w:rsidP="008629D6">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2" w:name="z364"/>
      <w:bookmarkEnd w:id="12"/>
    </w:p>
    <w:p w:rsidR="008629D6" w:rsidRPr="00C404E5" w:rsidRDefault="008629D6" w:rsidP="008629D6">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3" w:name="z365"/>
      <w:bookmarkEnd w:id="13"/>
    </w:p>
    <w:p w:rsidR="008629D6" w:rsidRPr="00C404E5" w:rsidRDefault="008629D6" w:rsidP="008629D6">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8629D6" w:rsidRPr="00AA30B8" w:rsidRDefault="008629D6" w:rsidP="008629D6">
      <w:pPr>
        <w:pStyle w:val="Iauiue"/>
        <w:widowControl/>
        <w:ind w:left="720"/>
        <w:jc w:val="both"/>
        <w:rPr>
          <w:sz w:val="24"/>
          <w:szCs w:val="24"/>
        </w:rPr>
      </w:pPr>
    </w:p>
    <w:p w:rsidR="008629D6" w:rsidRPr="009B181D" w:rsidRDefault="008629D6" w:rsidP="008629D6">
      <w:pPr>
        <w:jc w:val="both"/>
        <w:rPr>
          <w:sz w:val="24"/>
          <w:szCs w:val="24"/>
        </w:rPr>
      </w:pPr>
    </w:p>
    <w:p w:rsidR="008629D6" w:rsidRDefault="008629D6" w:rsidP="008629D6">
      <w:pPr>
        <w:jc w:val="both"/>
        <w:rPr>
          <w:sz w:val="24"/>
          <w:szCs w:val="24"/>
        </w:rPr>
      </w:pPr>
    </w:p>
    <w:p w:rsidR="008629D6" w:rsidRDefault="008629D6" w:rsidP="008629D6">
      <w:pPr>
        <w:rPr>
          <w:sz w:val="24"/>
          <w:szCs w:val="24"/>
        </w:rPr>
        <w:sectPr w:rsidR="008629D6" w:rsidSect="00CB75AF">
          <w:headerReference w:type="default" r:id="rId12"/>
          <w:footerReference w:type="first" r:id="rId13"/>
          <w:pgSz w:w="11906" w:h="16838"/>
          <w:pgMar w:top="709" w:right="851" w:bottom="1418" w:left="1418" w:header="709" w:footer="709" w:gutter="0"/>
          <w:pgNumType w:start="4"/>
          <w:cols w:space="708"/>
          <w:titlePg/>
          <w:docGrid w:linePitch="360"/>
        </w:sectPr>
      </w:pPr>
      <w:bookmarkStart w:id="14" w:name="_GoBack"/>
      <w:bookmarkEnd w:id="14"/>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E81958" w:rsidRDefault="008629D6" w:rsidP="00CB75AF">
            <w:pPr>
              <w:jc w:val="right"/>
              <w:rPr>
                <w:bCs/>
                <w:i/>
                <w:sz w:val="22"/>
                <w:szCs w:val="22"/>
              </w:rPr>
            </w:pPr>
            <w:r w:rsidRPr="00E81958">
              <w:rPr>
                <w:bCs/>
                <w:i/>
                <w:sz w:val="22"/>
                <w:szCs w:val="22"/>
              </w:rPr>
              <w:lastRenderedPageBreak/>
              <w:t>Приложение 1 </w:t>
            </w:r>
          </w:p>
          <w:p w:rsidR="008629D6" w:rsidRPr="00E81958" w:rsidRDefault="008629D6" w:rsidP="00CB75AF">
            <w:pPr>
              <w:jc w:val="right"/>
              <w:rPr>
                <w:bCs/>
                <w:i/>
                <w:sz w:val="22"/>
                <w:szCs w:val="22"/>
              </w:rPr>
            </w:pPr>
            <w:r w:rsidRPr="00E81958">
              <w:rPr>
                <w:bCs/>
                <w:i/>
                <w:sz w:val="22"/>
                <w:szCs w:val="22"/>
              </w:rPr>
              <w:t>к Тендерной документации</w:t>
            </w:r>
          </w:p>
          <w:p w:rsidR="00D831A1" w:rsidRPr="00E81958" w:rsidRDefault="008629D6" w:rsidP="00D831A1">
            <w:pPr>
              <w:jc w:val="center"/>
              <w:rPr>
                <w:b/>
                <w:bCs/>
                <w:sz w:val="22"/>
                <w:szCs w:val="22"/>
              </w:rPr>
            </w:pPr>
            <w:r w:rsidRPr="00E81958">
              <w:rPr>
                <w:b/>
                <w:bCs/>
                <w:sz w:val="22"/>
                <w:szCs w:val="22"/>
              </w:rPr>
              <w:t> </w:t>
            </w:r>
          </w:p>
          <w:p w:rsidR="008629D6" w:rsidRPr="00E81958" w:rsidRDefault="008629D6" w:rsidP="00D831A1">
            <w:pPr>
              <w:jc w:val="center"/>
              <w:rPr>
                <w:b/>
                <w:bCs/>
                <w:sz w:val="22"/>
                <w:szCs w:val="22"/>
              </w:rPr>
            </w:pPr>
            <w:r w:rsidRPr="00E81958">
              <w:rPr>
                <w:b/>
                <w:bCs/>
                <w:sz w:val="22"/>
                <w:szCs w:val="22"/>
              </w:rPr>
              <w:t>Перечень закупаемых товаров</w:t>
            </w:r>
          </w:p>
          <w:p w:rsidR="00D831A1" w:rsidRPr="00E81958" w:rsidRDefault="00D831A1" w:rsidP="00D831A1">
            <w:pPr>
              <w:jc w:val="center"/>
              <w:rPr>
                <w:b/>
                <w:bCs/>
                <w:sz w:val="22"/>
                <w:szCs w:val="22"/>
              </w:rPr>
            </w:pPr>
          </w:p>
        </w:tc>
      </w:tr>
      <w:tr w:rsidR="008629D6" w:rsidRPr="00AD53A5" w:rsidTr="0060017C">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 xml:space="preserve">Условия поставки (в </w:t>
            </w:r>
            <w:proofErr w:type="spellStart"/>
            <w:r w:rsidRPr="00E81958">
              <w:rPr>
                <w:b/>
                <w:bCs/>
                <w:sz w:val="22"/>
                <w:szCs w:val="22"/>
              </w:rPr>
              <w:t>соответсвии</w:t>
            </w:r>
            <w:proofErr w:type="spellEnd"/>
            <w:r w:rsidRPr="00E81958">
              <w:rPr>
                <w:b/>
                <w:bCs/>
                <w:sz w:val="22"/>
                <w:szCs w:val="22"/>
              </w:rPr>
              <w:t xml:space="preserve"> с </w:t>
            </w:r>
            <w:proofErr w:type="spellStart"/>
            <w:r w:rsidRPr="00E81958">
              <w:rPr>
                <w:b/>
                <w:bCs/>
                <w:sz w:val="22"/>
                <w:szCs w:val="22"/>
              </w:rPr>
              <w:t>Инкотермс</w:t>
            </w:r>
            <w:proofErr w:type="spellEnd"/>
            <w:r w:rsidRPr="00E81958">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 xml:space="preserve">Размер авансового платежа, </w:t>
            </w:r>
            <w:proofErr w:type="gramStart"/>
            <w:r w:rsidRPr="00E81958">
              <w:rPr>
                <w:b/>
                <w:bCs/>
                <w:sz w:val="22"/>
                <w:szCs w:val="22"/>
              </w:rPr>
              <w:t>в</w:t>
            </w:r>
            <w:proofErr w:type="gramEnd"/>
            <w:r w:rsidRPr="00E81958">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Сумма, выделенная для закупа способом тендера (по лоту №), тенге</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10</w:t>
            </w:r>
          </w:p>
        </w:tc>
      </w:tr>
      <w:tr w:rsidR="00C803F8" w:rsidRPr="00AD53A5" w:rsidTr="00C803F8">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C803F8" w:rsidRPr="00E81958" w:rsidRDefault="00C803F8" w:rsidP="00CB75AF">
            <w:pPr>
              <w:jc w:val="center"/>
              <w:rPr>
                <w:sz w:val="22"/>
                <w:szCs w:val="22"/>
              </w:rPr>
            </w:pPr>
            <w:r w:rsidRPr="00E81958">
              <w:rPr>
                <w:sz w:val="22"/>
                <w:szCs w:val="22"/>
              </w:rPr>
              <w:t>11</w:t>
            </w:r>
          </w:p>
        </w:tc>
        <w:tc>
          <w:tcPr>
            <w:tcW w:w="1559" w:type="dxa"/>
            <w:gridSpan w:val="2"/>
            <w:tcBorders>
              <w:left w:val="single" w:sz="4" w:space="0" w:color="auto"/>
              <w:right w:val="nil"/>
            </w:tcBorders>
            <w:shd w:val="clear" w:color="000000" w:fill="FFFFFF"/>
          </w:tcPr>
          <w:p w:rsidR="00C803F8" w:rsidRDefault="00C803F8" w:rsidP="00CB75AF">
            <w:pPr>
              <w:jc w:val="center"/>
              <w:rPr>
                <w:sz w:val="22"/>
                <w:szCs w:val="22"/>
              </w:rPr>
            </w:pPr>
          </w:p>
          <w:p w:rsidR="00C803F8" w:rsidRDefault="00C803F8" w:rsidP="00CB75AF">
            <w:pPr>
              <w:jc w:val="center"/>
              <w:rPr>
                <w:sz w:val="22"/>
                <w:szCs w:val="22"/>
              </w:rPr>
            </w:pPr>
          </w:p>
          <w:p w:rsidR="00C803F8" w:rsidRDefault="00C803F8" w:rsidP="00CB75AF">
            <w:pPr>
              <w:jc w:val="center"/>
              <w:rPr>
                <w:sz w:val="22"/>
                <w:szCs w:val="22"/>
              </w:rPr>
            </w:pPr>
          </w:p>
          <w:p w:rsidR="00C803F8" w:rsidRPr="00E81958" w:rsidRDefault="00C803F8" w:rsidP="00C803F8">
            <w:pPr>
              <w:jc w:val="center"/>
              <w:rPr>
                <w:sz w:val="22"/>
                <w:szCs w:val="22"/>
              </w:rPr>
            </w:pPr>
            <w:r>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803F8" w:rsidRPr="00E81958" w:rsidRDefault="00C803F8" w:rsidP="007251D4">
            <w:pPr>
              <w:jc w:val="center"/>
              <w:rPr>
                <w:color w:val="000000"/>
                <w:sz w:val="22"/>
                <w:szCs w:val="22"/>
              </w:rPr>
            </w:pPr>
            <w:r w:rsidRPr="00E81958">
              <w:rPr>
                <w:color w:val="000000"/>
                <w:sz w:val="22"/>
                <w:szCs w:val="22"/>
              </w:rPr>
              <w:t xml:space="preserve">Одноразовый комплект трубок со сдвоенным насосом для </w:t>
            </w:r>
            <w:proofErr w:type="spellStart"/>
            <w:r w:rsidRPr="00E81958">
              <w:rPr>
                <w:color w:val="000000"/>
                <w:sz w:val="22"/>
                <w:szCs w:val="22"/>
              </w:rPr>
              <w:t>факоэмульсификационной</w:t>
            </w:r>
            <w:proofErr w:type="spellEnd"/>
            <w:r w:rsidRPr="00E81958">
              <w:rPr>
                <w:color w:val="000000"/>
                <w:sz w:val="22"/>
                <w:szCs w:val="22"/>
              </w:rPr>
              <w:t xml:space="preserve"> системы</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C803F8" w:rsidRPr="00E81958" w:rsidRDefault="00C803F8" w:rsidP="007251D4">
            <w:pPr>
              <w:jc w:val="center"/>
              <w:rPr>
                <w:color w:val="000000"/>
                <w:sz w:val="22"/>
                <w:szCs w:val="22"/>
              </w:rPr>
            </w:pPr>
            <w:r w:rsidRPr="00E81958">
              <w:rPr>
                <w:color w:val="000000"/>
                <w:sz w:val="22"/>
                <w:szCs w:val="22"/>
              </w:rPr>
              <w:t>комплект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803F8" w:rsidRPr="00E81958" w:rsidRDefault="00C803F8" w:rsidP="007251D4">
            <w:pPr>
              <w:jc w:val="center"/>
              <w:rPr>
                <w:sz w:val="22"/>
                <w:szCs w:val="22"/>
              </w:rPr>
            </w:pPr>
            <w:r w:rsidRPr="00E81958">
              <w:rPr>
                <w:sz w:val="22"/>
                <w:szCs w:val="22"/>
              </w:rPr>
              <w:t>200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C803F8" w:rsidRPr="00E81958" w:rsidRDefault="00C803F8" w:rsidP="009A36A9">
            <w:pPr>
              <w:jc w:val="center"/>
              <w:rPr>
                <w:sz w:val="22"/>
                <w:szCs w:val="22"/>
              </w:rPr>
            </w:pPr>
            <w:r w:rsidRPr="00E81958">
              <w:rPr>
                <w:sz w:val="22"/>
                <w:szCs w:val="22"/>
                <w:lang w:val="en-US"/>
              </w:rPr>
              <w:t>DDP</w:t>
            </w:r>
          </w:p>
        </w:tc>
        <w:tc>
          <w:tcPr>
            <w:tcW w:w="1701" w:type="dxa"/>
            <w:tcBorders>
              <w:left w:val="single" w:sz="4" w:space="0" w:color="auto"/>
              <w:right w:val="single" w:sz="4" w:space="0" w:color="auto"/>
            </w:tcBorders>
            <w:shd w:val="clear" w:color="000000" w:fill="FFFFFF"/>
          </w:tcPr>
          <w:p w:rsidR="00C803F8" w:rsidRPr="00E81958" w:rsidRDefault="00C803F8" w:rsidP="00FE0C58">
            <w:pPr>
              <w:jc w:val="center"/>
              <w:rPr>
                <w:sz w:val="22"/>
                <w:szCs w:val="22"/>
              </w:rPr>
            </w:pPr>
            <w:r w:rsidRPr="00E81958">
              <w:rPr>
                <w:sz w:val="22"/>
                <w:szCs w:val="22"/>
              </w:rPr>
              <w:t xml:space="preserve">в течение 3 рабочих дней </w:t>
            </w:r>
            <w:proofErr w:type="gramStart"/>
            <w:r w:rsidRPr="00E81958">
              <w:rPr>
                <w:sz w:val="22"/>
                <w:szCs w:val="22"/>
              </w:rPr>
              <w:t>с даты получения</w:t>
            </w:r>
            <w:proofErr w:type="gramEnd"/>
            <w:r w:rsidRPr="00E81958">
              <w:rPr>
                <w:sz w:val="22"/>
                <w:szCs w:val="22"/>
              </w:rPr>
              <w:t xml:space="preserve"> заявки от Заказчика до 31.12.2020 г.</w:t>
            </w:r>
          </w:p>
        </w:tc>
        <w:tc>
          <w:tcPr>
            <w:tcW w:w="1843" w:type="dxa"/>
            <w:tcBorders>
              <w:left w:val="single" w:sz="4" w:space="0" w:color="auto"/>
              <w:right w:val="single" w:sz="4" w:space="0" w:color="auto"/>
            </w:tcBorders>
            <w:shd w:val="clear" w:color="000000" w:fill="FFFFFF"/>
          </w:tcPr>
          <w:p w:rsidR="00C803F8" w:rsidRPr="00E81958" w:rsidRDefault="00C803F8" w:rsidP="00C803F8">
            <w:pPr>
              <w:jc w:val="center"/>
              <w:rPr>
                <w:sz w:val="22"/>
                <w:szCs w:val="22"/>
              </w:rPr>
            </w:pPr>
          </w:p>
          <w:p w:rsidR="00C803F8" w:rsidRDefault="00C803F8" w:rsidP="00C803F8">
            <w:pPr>
              <w:jc w:val="center"/>
              <w:rPr>
                <w:sz w:val="22"/>
                <w:szCs w:val="22"/>
              </w:rPr>
            </w:pPr>
          </w:p>
          <w:p w:rsidR="00C803F8" w:rsidRDefault="00C803F8" w:rsidP="00C803F8">
            <w:pPr>
              <w:jc w:val="center"/>
              <w:rPr>
                <w:sz w:val="22"/>
                <w:szCs w:val="22"/>
              </w:rPr>
            </w:pPr>
          </w:p>
          <w:p w:rsidR="00C803F8" w:rsidRPr="00E81958" w:rsidRDefault="00C803F8" w:rsidP="00C803F8">
            <w:pPr>
              <w:jc w:val="center"/>
              <w:rPr>
                <w:sz w:val="22"/>
                <w:szCs w:val="22"/>
              </w:rPr>
            </w:pPr>
            <w:r w:rsidRPr="00E81958">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C803F8" w:rsidRPr="00E81958" w:rsidRDefault="00C803F8" w:rsidP="009A36A9">
            <w:pPr>
              <w:jc w:val="center"/>
              <w:rPr>
                <w:sz w:val="22"/>
                <w:szCs w:val="22"/>
              </w:rPr>
            </w:pPr>
            <w:r w:rsidRPr="00E81958">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C803F8" w:rsidRPr="00E81958" w:rsidRDefault="00C803F8" w:rsidP="00EF0D62">
            <w:pPr>
              <w:jc w:val="center"/>
              <w:rPr>
                <w:sz w:val="22"/>
                <w:szCs w:val="22"/>
              </w:rPr>
            </w:pPr>
            <w:r w:rsidRPr="00E81958">
              <w:rPr>
                <w:sz w:val="22"/>
                <w:szCs w:val="22"/>
              </w:rPr>
              <w:t>9 000 000</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b/>
                <w:bCs/>
                <w:sz w:val="22"/>
                <w:szCs w:val="22"/>
              </w:rPr>
            </w:pPr>
            <w:r w:rsidRPr="00E81958">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rPr>
                <w:sz w:val="22"/>
                <w:szCs w:val="22"/>
              </w:rPr>
            </w:pPr>
            <w:r w:rsidRPr="00E81958">
              <w:rPr>
                <w:sz w:val="22"/>
                <w:szCs w:val="22"/>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E81958" w:rsidRDefault="00FE0C58" w:rsidP="00CB75AF">
            <w:pPr>
              <w:jc w:val="center"/>
              <w:rPr>
                <w:b/>
                <w:bCs/>
                <w:sz w:val="22"/>
                <w:szCs w:val="22"/>
              </w:rPr>
            </w:pPr>
            <w:r>
              <w:rPr>
                <w:b/>
                <w:bCs/>
                <w:sz w:val="22"/>
                <w:szCs w:val="22"/>
              </w:rPr>
              <w:t>9 000 000</w:t>
            </w:r>
            <w:r w:rsidR="00EF0D62" w:rsidRPr="00E81958">
              <w:rPr>
                <w:b/>
                <w:bCs/>
                <w:sz w:val="22"/>
                <w:szCs w:val="22"/>
              </w:rPr>
              <w:t xml:space="preserve">   </w:t>
            </w:r>
          </w:p>
        </w:tc>
      </w:tr>
      <w:tr w:rsidR="008629D6" w:rsidRPr="00AD53A5" w:rsidTr="00CB75AF">
        <w:trPr>
          <w:trHeight w:val="390"/>
        </w:trPr>
        <w:tc>
          <w:tcPr>
            <w:tcW w:w="16161" w:type="dxa"/>
            <w:gridSpan w:val="16"/>
            <w:tcBorders>
              <w:top w:val="nil"/>
              <w:left w:val="nil"/>
              <w:bottom w:val="nil"/>
              <w:right w:val="nil"/>
            </w:tcBorders>
            <w:shd w:val="clear" w:color="000000" w:fill="FFFFFF"/>
            <w:vAlign w:val="center"/>
            <w:hideMark/>
          </w:tcPr>
          <w:p w:rsidR="008629D6" w:rsidRPr="00E81958" w:rsidRDefault="008629D6" w:rsidP="00CB75AF">
            <w:pPr>
              <w:rPr>
                <w:b/>
                <w:bCs/>
                <w:i/>
                <w:iCs/>
                <w:sz w:val="22"/>
                <w:szCs w:val="22"/>
              </w:rPr>
            </w:pPr>
            <w:r w:rsidRPr="00E81958">
              <w:rPr>
                <w:b/>
                <w:bCs/>
                <w:i/>
                <w:iCs/>
                <w:sz w:val="22"/>
                <w:szCs w:val="22"/>
              </w:rPr>
              <w:t>* Полное описание товаров указывается в технической спецификации.</w:t>
            </w:r>
          </w:p>
        </w:tc>
      </w:tr>
      <w:tr w:rsidR="008629D6" w:rsidRPr="00AD53A5" w:rsidTr="00CB75AF">
        <w:trPr>
          <w:trHeight w:val="375"/>
        </w:trPr>
        <w:tc>
          <w:tcPr>
            <w:tcW w:w="750" w:type="dxa"/>
            <w:gridSpan w:val="2"/>
            <w:tcBorders>
              <w:top w:val="nil"/>
              <w:left w:val="nil"/>
              <w:bottom w:val="nil"/>
              <w:right w:val="nil"/>
            </w:tcBorders>
            <w:shd w:val="clear" w:color="000000" w:fill="FFFFFF"/>
            <w:vAlign w:val="center"/>
          </w:tcPr>
          <w:p w:rsidR="008629D6" w:rsidRPr="00E81958" w:rsidRDefault="008629D6" w:rsidP="00CB75AF">
            <w:pPr>
              <w:rPr>
                <w:b/>
                <w:bCs/>
                <w:sz w:val="22"/>
                <w:szCs w:val="22"/>
              </w:rPr>
            </w:pPr>
          </w:p>
        </w:tc>
        <w:tc>
          <w:tcPr>
            <w:tcW w:w="1702" w:type="dxa"/>
            <w:gridSpan w:val="2"/>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8629D6" w:rsidRPr="00E81958" w:rsidRDefault="008629D6" w:rsidP="00CB75AF">
            <w:pPr>
              <w:rPr>
                <w:sz w:val="22"/>
                <w:szCs w:val="22"/>
              </w:rPr>
            </w:pPr>
            <w:r w:rsidRPr="00E81958">
              <w:rPr>
                <w:sz w:val="22"/>
                <w:szCs w:val="22"/>
              </w:rPr>
              <w:t> </w:t>
            </w:r>
          </w:p>
        </w:tc>
        <w:tc>
          <w:tcPr>
            <w:tcW w:w="994" w:type="dxa"/>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903" w:type="dxa"/>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265" w:type="dxa"/>
            <w:gridSpan w:val="2"/>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942" w:type="dxa"/>
            <w:gridSpan w:val="2"/>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2194" w:type="dxa"/>
            <w:gridSpan w:val="2"/>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926" w:type="dxa"/>
            <w:tcBorders>
              <w:top w:val="nil"/>
              <w:left w:val="nil"/>
              <w:bottom w:val="nil"/>
              <w:right w:val="nil"/>
            </w:tcBorders>
            <w:shd w:val="clear" w:color="000000" w:fill="FFFFFF"/>
            <w:vAlign w:val="center"/>
            <w:hideMark/>
          </w:tcPr>
          <w:p w:rsidR="008629D6" w:rsidRPr="00E81958" w:rsidRDefault="008629D6" w:rsidP="00CB75AF">
            <w:pPr>
              <w:jc w:val="center"/>
              <w:rPr>
                <w:sz w:val="22"/>
                <w:szCs w:val="22"/>
              </w:rPr>
            </w:pPr>
            <w:r w:rsidRPr="00E81958">
              <w:rPr>
                <w:sz w:val="22"/>
                <w:szCs w:val="22"/>
              </w:rPr>
              <w:t> </w:t>
            </w:r>
          </w:p>
        </w:tc>
        <w:tc>
          <w:tcPr>
            <w:tcW w:w="1843" w:type="dxa"/>
            <w:tcBorders>
              <w:top w:val="nil"/>
              <w:left w:val="nil"/>
              <w:bottom w:val="nil"/>
              <w:right w:val="nil"/>
            </w:tcBorders>
            <w:shd w:val="clear" w:color="000000" w:fill="FFFFFF"/>
            <w:vAlign w:val="center"/>
            <w:hideMark/>
          </w:tcPr>
          <w:p w:rsidR="008629D6" w:rsidRPr="00E81958" w:rsidRDefault="008629D6" w:rsidP="00CB75AF">
            <w:pPr>
              <w:jc w:val="right"/>
              <w:rPr>
                <w:b/>
                <w:bCs/>
                <w:sz w:val="22"/>
                <w:szCs w:val="22"/>
              </w:rPr>
            </w:pPr>
            <w:r w:rsidRPr="00E81958">
              <w:rPr>
                <w:b/>
                <w:bCs/>
                <w:sz w:val="22"/>
                <w:szCs w:val="22"/>
              </w:rPr>
              <w:t> </w:t>
            </w:r>
          </w:p>
        </w:tc>
      </w:tr>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E81958" w:rsidRDefault="008629D6" w:rsidP="00CB75AF">
            <w:pPr>
              <w:rPr>
                <w:b/>
                <w:bCs/>
                <w:sz w:val="22"/>
                <w:szCs w:val="22"/>
              </w:rPr>
            </w:pPr>
            <w:r w:rsidRPr="00E81958">
              <w:rPr>
                <w:b/>
                <w:bCs/>
                <w:sz w:val="22"/>
                <w:szCs w:val="22"/>
              </w:rPr>
              <w:t xml:space="preserve">Организатор и Заказчик: Директор ГКП на ПХВ «АМКБ» _________________ </w:t>
            </w:r>
            <w:proofErr w:type="spellStart"/>
            <w:r w:rsidRPr="00E81958">
              <w:rPr>
                <w:b/>
                <w:bCs/>
                <w:sz w:val="22"/>
                <w:szCs w:val="22"/>
              </w:rPr>
              <w:t>Молдакулов</w:t>
            </w:r>
            <w:proofErr w:type="spellEnd"/>
            <w:r w:rsidRPr="00E81958">
              <w:rPr>
                <w:b/>
                <w:bCs/>
                <w:sz w:val="22"/>
                <w:szCs w:val="22"/>
              </w:rPr>
              <w:t xml:space="preserve"> Ж.М.</w:t>
            </w:r>
          </w:p>
          <w:p w:rsidR="008629D6" w:rsidRPr="00E81958" w:rsidRDefault="008629D6" w:rsidP="00CB75AF">
            <w:pPr>
              <w:rPr>
                <w:b/>
                <w:bCs/>
                <w:sz w:val="22"/>
                <w:szCs w:val="22"/>
              </w:rPr>
            </w:pPr>
            <w:r w:rsidRPr="00E81958">
              <w:rPr>
                <w:b/>
                <w:bCs/>
                <w:sz w:val="22"/>
                <w:szCs w:val="22"/>
              </w:rPr>
              <w:t>М.П.</w:t>
            </w:r>
          </w:p>
        </w:tc>
      </w:tr>
    </w:tbl>
    <w:p w:rsidR="008629D6" w:rsidRDefault="008629D6" w:rsidP="008629D6">
      <w:pPr>
        <w:pStyle w:val="a8"/>
        <w:ind w:left="4962"/>
        <w:jc w:val="right"/>
        <w:rPr>
          <w:rFonts w:ascii="Times New Roman" w:hAnsi="Times New Roman"/>
          <w:b w:val="0"/>
          <w:caps w:val="0"/>
          <w:szCs w:val="24"/>
        </w:rPr>
        <w:sectPr w:rsidR="008629D6" w:rsidSect="008629D6">
          <w:pgSz w:w="16838" w:h="11906" w:orient="landscape"/>
          <w:pgMar w:top="993" w:right="1418" w:bottom="993" w:left="709" w:header="709" w:footer="709" w:gutter="0"/>
          <w:pgNumType w:start="4"/>
          <w:cols w:space="708"/>
          <w:titlePg/>
          <w:docGrid w:linePitch="360"/>
        </w:sectPr>
      </w:pPr>
    </w:p>
    <w:p w:rsidR="008629D6" w:rsidRPr="007D2EF8" w:rsidRDefault="008629D6" w:rsidP="008629D6">
      <w:pPr>
        <w:pStyle w:val="a8"/>
        <w:ind w:left="4962"/>
        <w:jc w:val="right"/>
        <w:rPr>
          <w:rFonts w:ascii="Times New Roman" w:hAnsi="Times New Roman"/>
          <w:b w:val="0"/>
          <w:caps w:val="0"/>
          <w:szCs w:val="24"/>
        </w:rPr>
      </w:pPr>
    </w:p>
    <w:p w:rsidR="008629D6" w:rsidRPr="00307A59" w:rsidRDefault="008629D6" w:rsidP="008629D6">
      <w:pPr>
        <w:jc w:val="right"/>
        <w:rPr>
          <w:bCs/>
          <w:i/>
        </w:rPr>
      </w:pPr>
      <w:r w:rsidRPr="00307A59">
        <w:rPr>
          <w:bCs/>
          <w:i/>
        </w:rPr>
        <w:t xml:space="preserve">Приложение </w:t>
      </w:r>
      <w:r>
        <w:rPr>
          <w:bCs/>
          <w:i/>
        </w:rPr>
        <w:t>2</w:t>
      </w:r>
    </w:p>
    <w:p w:rsidR="008629D6" w:rsidRPr="00307A59" w:rsidRDefault="008629D6" w:rsidP="008629D6">
      <w:pPr>
        <w:jc w:val="right"/>
        <w:rPr>
          <w:bCs/>
          <w:i/>
        </w:rPr>
      </w:pPr>
      <w:r w:rsidRPr="00307A59">
        <w:rPr>
          <w:bCs/>
          <w:i/>
        </w:rPr>
        <w:t>к Тендерной документации</w:t>
      </w:r>
    </w:p>
    <w:p w:rsidR="008629D6" w:rsidRPr="004928D0" w:rsidRDefault="008629D6" w:rsidP="008629D6">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8629D6" w:rsidRPr="00EF0D62" w:rsidRDefault="008629D6" w:rsidP="008629D6">
      <w:pPr>
        <w:pStyle w:val="1"/>
        <w:jc w:val="center"/>
        <w:rPr>
          <w:rFonts w:ascii="Times New Roman" w:hAnsi="Times New Roman"/>
          <w:sz w:val="22"/>
          <w:szCs w:val="22"/>
        </w:rPr>
      </w:pPr>
      <w:r w:rsidRPr="00EF0D62">
        <w:rPr>
          <w:rFonts w:ascii="Times New Roman" w:hAnsi="Times New Roman"/>
          <w:sz w:val="22"/>
          <w:szCs w:val="22"/>
        </w:rPr>
        <w:t>Техническая спецификация закупаемых товаров</w:t>
      </w:r>
    </w:p>
    <w:p w:rsidR="00E77CE6" w:rsidRPr="00EF0D62" w:rsidRDefault="00E77CE6" w:rsidP="00E77CE6">
      <w:pPr>
        <w:rPr>
          <w:rStyle w:val="afb"/>
          <w:b w:val="0"/>
          <w:sz w:val="22"/>
          <w:szCs w:val="22"/>
        </w:rPr>
      </w:pPr>
      <w:r w:rsidRPr="00EF0D62">
        <w:rPr>
          <w:rStyle w:val="afb"/>
          <w:b w:val="0"/>
          <w:sz w:val="22"/>
          <w:szCs w:val="22"/>
        </w:rPr>
        <w:t xml:space="preserve"> </w:t>
      </w:r>
    </w:p>
    <w:p w:rsidR="00EF0D62" w:rsidRPr="00EF0D62" w:rsidRDefault="00EF0D62" w:rsidP="00E77CE6">
      <w:pPr>
        <w:rPr>
          <w:rStyle w:val="afb"/>
          <w:b w:val="0"/>
          <w:sz w:val="22"/>
          <w:szCs w:val="22"/>
        </w:rPr>
      </w:pPr>
    </w:p>
    <w:p w:rsidR="00EF0D62" w:rsidRPr="00EF0D62" w:rsidRDefault="00EF0D62" w:rsidP="00EF0D62">
      <w:pPr>
        <w:jc w:val="center"/>
        <w:rPr>
          <w:rStyle w:val="afb"/>
          <w:bCs w:val="0"/>
          <w:color w:val="000000"/>
          <w:sz w:val="22"/>
          <w:szCs w:val="22"/>
        </w:rPr>
      </w:pPr>
      <w:r w:rsidRPr="00EF0D62">
        <w:rPr>
          <w:b/>
          <w:color w:val="000000"/>
          <w:sz w:val="22"/>
          <w:szCs w:val="22"/>
        </w:rPr>
        <w:t xml:space="preserve">№11 Одноразовый комплект трубок со сдвоенным насосом для </w:t>
      </w:r>
      <w:proofErr w:type="spellStart"/>
      <w:r w:rsidRPr="00EF0D62">
        <w:rPr>
          <w:b/>
          <w:color w:val="000000"/>
          <w:sz w:val="22"/>
          <w:szCs w:val="22"/>
        </w:rPr>
        <w:t>факоэмульсификационной</w:t>
      </w:r>
      <w:proofErr w:type="spellEnd"/>
      <w:r w:rsidRPr="00EF0D62">
        <w:rPr>
          <w:b/>
          <w:color w:val="000000"/>
          <w:sz w:val="22"/>
          <w:szCs w:val="22"/>
        </w:rPr>
        <w:t xml:space="preserve"> системы</w:t>
      </w:r>
    </w:p>
    <w:p w:rsidR="00EF0D62" w:rsidRPr="00EF0D62" w:rsidRDefault="00EF0D62" w:rsidP="00EF0D62">
      <w:pPr>
        <w:pStyle w:val="af3"/>
        <w:spacing w:before="0" w:beforeAutospacing="0" w:after="0" w:afterAutospacing="0"/>
        <w:jc w:val="both"/>
        <w:rPr>
          <w:sz w:val="22"/>
          <w:szCs w:val="22"/>
        </w:rPr>
      </w:pPr>
      <w:r w:rsidRPr="00EF0D62">
        <w:rPr>
          <w:sz w:val="22"/>
          <w:szCs w:val="22"/>
        </w:rPr>
        <w:t xml:space="preserve">Одноразовый комплект трубок со сдвоенным насосом для ирригации/аспирации </w:t>
      </w:r>
      <w:proofErr w:type="gramStart"/>
      <w:r w:rsidRPr="00EF0D62">
        <w:rPr>
          <w:sz w:val="22"/>
          <w:szCs w:val="22"/>
        </w:rPr>
        <w:t>предназначена</w:t>
      </w:r>
      <w:proofErr w:type="gramEnd"/>
      <w:r w:rsidRPr="00EF0D62">
        <w:rPr>
          <w:sz w:val="22"/>
          <w:szCs w:val="22"/>
        </w:rPr>
        <w:t xml:space="preserve"> для сбора </w:t>
      </w:r>
      <w:proofErr w:type="spellStart"/>
      <w:r w:rsidRPr="00EF0D62">
        <w:rPr>
          <w:sz w:val="22"/>
          <w:szCs w:val="22"/>
        </w:rPr>
        <w:t>аспирированной</w:t>
      </w:r>
      <w:proofErr w:type="spellEnd"/>
      <w:r w:rsidRPr="00EF0D62">
        <w:rPr>
          <w:sz w:val="22"/>
          <w:szCs w:val="22"/>
        </w:rPr>
        <w:t xml:space="preserve"> жидкости во время проведения </w:t>
      </w:r>
      <w:proofErr w:type="spellStart"/>
      <w:r w:rsidRPr="00EF0D62">
        <w:rPr>
          <w:sz w:val="22"/>
          <w:szCs w:val="22"/>
        </w:rPr>
        <w:t>факоэмульсификационной</w:t>
      </w:r>
      <w:proofErr w:type="spellEnd"/>
      <w:r w:rsidRPr="00EF0D62">
        <w:rPr>
          <w:sz w:val="22"/>
          <w:szCs w:val="22"/>
        </w:rPr>
        <w:t xml:space="preserve"> процедуры по удалению хрусталика глаза с помощью </w:t>
      </w:r>
      <w:proofErr w:type="spellStart"/>
      <w:r w:rsidRPr="00EF0D62">
        <w:rPr>
          <w:sz w:val="22"/>
          <w:szCs w:val="22"/>
        </w:rPr>
        <w:t>факоэмульсификационной</w:t>
      </w:r>
      <w:proofErr w:type="spellEnd"/>
      <w:r w:rsidRPr="00EF0D62">
        <w:rPr>
          <w:sz w:val="22"/>
          <w:szCs w:val="22"/>
        </w:rPr>
        <w:t xml:space="preserve"> машины </w:t>
      </w:r>
      <w:proofErr w:type="spellStart"/>
      <w:r w:rsidRPr="00EF0D62">
        <w:rPr>
          <w:sz w:val="22"/>
          <w:szCs w:val="22"/>
        </w:rPr>
        <w:t>Whitestar</w:t>
      </w:r>
      <w:proofErr w:type="spellEnd"/>
      <w:r w:rsidRPr="00EF0D62">
        <w:rPr>
          <w:sz w:val="22"/>
          <w:szCs w:val="22"/>
        </w:rPr>
        <w:t xml:space="preserve"> </w:t>
      </w:r>
      <w:proofErr w:type="spellStart"/>
      <w:r w:rsidRPr="00EF0D62">
        <w:rPr>
          <w:sz w:val="22"/>
          <w:szCs w:val="22"/>
        </w:rPr>
        <w:t>Signature</w:t>
      </w:r>
      <w:proofErr w:type="spellEnd"/>
      <w:r w:rsidRPr="00EF0D62">
        <w:rPr>
          <w:sz w:val="22"/>
          <w:szCs w:val="22"/>
        </w:rPr>
        <w:t xml:space="preserve"> Одноразовый комплект трубок со сдвоенным насосом содержит:  </w:t>
      </w:r>
    </w:p>
    <w:p w:rsidR="00EF0D62" w:rsidRPr="00EF0D62" w:rsidRDefault="00EF0D62" w:rsidP="00E81958">
      <w:pPr>
        <w:pStyle w:val="af3"/>
        <w:numPr>
          <w:ilvl w:val="0"/>
          <w:numId w:val="5"/>
        </w:numPr>
        <w:suppressAutoHyphens/>
        <w:spacing w:before="0" w:beforeAutospacing="0" w:after="0" w:afterAutospacing="0" w:line="270" w:lineRule="atLeast"/>
        <w:ind w:left="794" w:hanging="283"/>
        <w:jc w:val="both"/>
        <w:rPr>
          <w:sz w:val="22"/>
          <w:szCs w:val="22"/>
        </w:rPr>
      </w:pPr>
      <w:r w:rsidRPr="00EF0D62">
        <w:rPr>
          <w:sz w:val="22"/>
          <w:szCs w:val="22"/>
        </w:rPr>
        <w:t>Стерильную пленку для стола с инструментами</w:t>
      </w:r>
    </w:p>
    <w:p w:rsidR="00EF0D62" w:rsidRPr="00EF0D62" w:rsidRDefault="00EF0D62" w:rsidP="00E81958">
      <w:pPr>
        <w:pStyle w:val="af3"/>
        <w:numPr>
          <w:ilvl w:val="0"/>
          <w:numId w:val="5"/>
        </w:numPr>
        <w:suppressAutoHyphens/>
        <w:spacing w:before="0" w:beforeAutospacing="0" w:after="0" w:afterAutospacing="0" w:line="270" w:lineRule="atLeast"/>
        <w:ind w:left="794" w:hanging="283"/>
        <w:jc w:val="both"/>
        <w:rPr>
          <w:sz w:val="22"/>
          <w:szCs w:val="22"/>
        </w:rPr>
      </w:pPr>
      <w:r w:rsidRPr="00EF0D62">
        <w:rPr>
          <w:sz w:val="22"/>
          <w:szCs w:val="22"/>
        </w:rPr>
        <w:t xml:space="preserve">Защитную </w:t>
      </w:r>
      <w:proofErr w:type="spellStart"/>
      <w:r w:rsidRPr="00EF0D62">
        <w:rPr>
          <w:sz w:val="22"/>
          <w:szCs w:val="22"/>
        </w:rPr>
        <w:t>стирильную</w:t>
      </w:r>
      <w:proofErr w:type="spellEnd"/>
      <w:r w:rsidRPr="00EF0D62">
        <w:rPr>
          <w:sz w:val="22"/>
          <w:szCs w:val="22"/>
        </w:rPr>
        <w:t xml:space="preserve"> пленку для сенсорного экрана</w:t>
      </w:r>
    </w:p>
    <w:p w:rsidR="00EF0D62" w:rsidRPr="00EF0D62" w:rsidRDefault="00EF0D62" w:rsidP="00E81958">
      <w:pPr>
        <w:pStyle w:val="af3"/>
        <w:numPr>
          <w:ilvl w:val="0"/>
          <w:numId w:val="5"/>
        </w:numPr>
        <w:suppressAutoHyphens/>
        <w:spacing w:before="0" w:beforeAutospacing="0" w:after="0" w:afterAutospacing="0" w:line="270" w:lineRule="atLeast"/>
        <w:ind w:left="794" w:hanging="283"/>
        <w:jc w:val="both"/>
        <w:rPr>
          <w:sz w:val="22"/>
          <w:szCs w:val="22"/>
        </w:rPr>
      </w:pPr>
      <w:r w:rsidRPr="00EF0D62">
        <w:rPr>
          <w:sz w:val="22"/>
          <w:szCs w:val="22"/>
        </w:rPr>
        <w:t>Кассету трубок для ирригации/аспирации, интегрированный дренажный пакет</w:t>
      </w:r>
    </w:p>
    <w:p w:rsidR="00EF0D62" w:rsidRPr="00EF0D62" w:rsidRDefault="00EF0D62" w:rsidP="00E81958">
      <w:pPr>
        <w:pStyle w:val="af3"/>
        <w:numPr>
          <w:ilvl w:val="0"/>
          <w:numId w:val="5"/>
        </w:numPr>
        <w:suppressAutoHyphens/>
        <w:spacing w:before="0" w:beforeAutospacing="0" w:after="0" w:afterAutospacing="0" w:line="270" w:lineRule="atLeast"/>
        <w:ind w:left="794" w:hanging="283"/>
        <w:jc w:val="both"/>
        <w:rPr>
          <w:sz w:val="22"/>
          <w:szCs w:val="22"/>
        </w:rPr>
      </w:pPr>
      <w:proofErr w:type="spellStart"/>
      <w:r w:rsidRPr="00EF0D62">
        <w:rPr>
          <w:sz w:val="22"/>
          <w:szCs w:val="22"/>
        </w:rPr>
        <w:t>Инфузионный</w:t>
      </w:r>
      <w:proofErr w:type="spellEnd"/>
      <w:r w:rsidRPr="00EF0D62">
        <w:rPr>
          <w:sz w:val="22"/>
          <w:szCs w:val="22"/>
        </w:rPr>
        <w:t xml:space="preserve"> рукав 21G</w:t>
      </w:r>
    </w:p>
    <w:p w:rsidR="00EF0D62" w:rsidRPr="00EF0D62" w:rsidRDefault="00EF0D62" w:rsidP="00E81958">
      <w:pPr>
        <w:pStyle w:val="af3"/>
        <w:numPr>
          <w:ilvl w:val="0"/>
          <w:numId w:val="5"/>
        </w:numPr>
        <w:suppressAutoHyphens/>
        <w:spacing w:before="0" w:beforeAutospacing="0" w:after="0" w:afterAutospacing="0" w:line="270" w:lineRule="atLeast"/>
        <w:ind w:left="794" w:hanging="283"/>
        <w:jc w:val="both"/>
        <w:rPr>
          <w:sz w:val="22"/>
          <w:szCs w:val="22"/>
        </w:rPr>
      </w:pPr>
      <w:r w:rsidRPr="00EF0D62">
        <w:rPr>
          <w:sz w:val="22"/>
          <w:szCs w:val="22"/>
        </w:rPr>
        <w:t xml:space="preserve"> Тестовую камеру</w:t>
      </w:r>
    </w:p>
    <w:p w:rsidR="00EF0D62" w:rsidRPr="00EF0D62" w:rsidRDefault="00EF0D62" w:rsidP="00E77CE6">
      <w:pPr>
        <w:rPr>
          <w:rStyle w:val="afb"/>
          <w:b w:val="0"/>
          <w:sz w:val="22"/>
          <w:szCs w:val="22"/>
        </w:rPr>
      </w:pPr>
    </w:p>
    <w:p w:rsidR="00E77CE6" w:rsidRPr="009A36A9" w:rsidRDefault="00E77CE6" w:rsidP="00A35285">
      <w:pPr>
        <w:rPr>
          <w:rStyle w:val="afb"/>
          <w:b w:val="0"/>
          <w:bCs w:val="0"/>
          <w:sz w:val="22"/>
          <w:szCs w:val="22"/>
        </w:rPr>
      </w:pPr>
    </w:p>
    <w:p w:rsidR="00A35285" w:rsidRPr="009A36A9" w:rsidRDefault="00A35285" w:rsidP="002E2EC8">
      <w:pPr>
        <w:jc w:val="center"/>
        <w:rPr>
          <w:b/>
          <w:sz w:val="22"/>
          <w:szCs w:val="22"/>
        </w:rPr>
      </w:pPr>
    </w:p>
    <w:p w:rsidR="002E2EC8" w:rsidRPr="009A36A9" w:rsidRDefault="002E2EC8" w:rsidP="002E2EC8">
      <w:pPr>
        <w:jc w:val="center"/>
        <w:rPr>
          <w:sz w:val="22"/>
          <w:szCs w:val="22"/>
        </w:rPr>
      </w:pPr>
    </w:p>
    <w:p w:rsidR="00BE7064" w:rsidRPr="00D304DE" w:rsidRDefault="00BE7064" w:rsidP="00D304DE">
      <w:pPr>
        <w:jc w:val="both"/>
        <w:rPr>
          <w:sz w:val="22"/>
          <w:szCs w:val="22"/>
        </w:rPr>
      </w:pPr>
    </w:p>
    <w:p w:rsidR="0060017C" w:rsidRDefault="0060017C" w:rsidP="00D02464">
      <w:pPr>
        <w:rPr>
          <w:b/>
          <w:sz w:val="22"/>
          <w:szCs w:val="22"/>
        </w:rPr>
      </w:pPr>
    </w:p>
    <w:p w:rsidR="00C07BCF" w:rsidRDefault="00C07BCF"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FE0C58" w:rsidRDefault="00FE0C58" w:rsidP="001A2B2B">
      <w:pPr>
        <w:rPr>
          <w:bCs/>
          <w:i/>
        </w:rPr>
      </w:pPr>
    </w:p>
    <w:p w:rsidR="001A2B2B" w:rsidRDefault="001A2B2B" w:rsidP="001A2B2B">
      <w:pPr>
        <w:rPr>
          <w:bCs/>
          <w:i/>
        </w:rPr>
      </w:pPr>
    </w:p>
    <w:p w:rsidR="008629D6" w:rsidRPr="00307A59" w:rsidRDefault="008629D6" w:rsidP="008629D6">
      <w:pPr>
        <w:jc w:val="right"/>
        <w:rPr>
          <w:bCs/>
          <w:i/>
        </w:rPr>
      </w:pPr>
      <w:r w:rsidRPr="00307A59">
        <w:rPr>
          <w:bCs/>
          <w:i/>
        </w:rPr>
        <w:lastRenderedPageBreak/>
        <w:t xml:space="preserve">Приложение </w:t>
      </w:r>
      <w:r>
        <w:rPr>
          <w:bCs/>
          <w:i/>
        </w:rPr>
        <w:t>3</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8629D6" w:rsidRPr="00B664AE" w:rsidTr="00CB75AF">
        <w:tc>
          <w:tcPr>
            <w:tcW w:w="4503" w:type="dxa"/>
          </w:tcPr>
          <w:p w:rsidR="008629D6" w:rsidRPr="00B664AE" w:rsidRDefault="008629D6" w:rsidP="00CB75AF">
            <w:pPr>
              <w:pStyle w:val="j13"/>
              <w:spacing w:before="0" w:beforeAutospacing="0" w:after="0" w:afterAutospacing="0"/>
              <w:textAlignment w:val="baseline"/>
            </w:pPr>
          </w:p>
        </w:tc>
        <w:tc>
          <w:tcPr>
            <w:tcW w:w="5350" w:type="dxa"/>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8629D6" w:rsidRPr="00B664AE" w:rsidRDefault="008629D6" w:rsidP="00CB75AF">
            <w:pPr>
              <w:pStyle w:val="af3"/>
              <w:shd w:val="clear" w:color="auto" w:fill="FFFFFF"/>
              <w:spacing w:before="0" w:beforeAutospacing="0" w:after="0" w:afterAutospacing="0"/>
              <w:ind w:firstLine="709"/>
              <w:textAlignment w:val="baseline"/>
              <w:rPr>
                <w:spacing w:val="2"/>
              </w:rPr>
            </w:pP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8629D6" w:rsidRPr="00B664AE" w:rsidRDefault="008629D6" w:rsidP="00CB75AF">
            <w:pPr>
              <w:pStyle w:val="j13"/>
              <w:spacing w:before="0" w:beforeAutospacing="0" w:after="0" w:afterAutospacing="0"/>
              <w:textAlignment w:val="baseline"/>
            </w:pPr>
          </w:p>
        </w:tc>
      </w:tr>
    </w:tbl>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 xml:space="preserve">Заявка на участие в </w:t>
      </w:r>
      <w:r w:rsidR="00FE0C58">
        <w:rPr>
          <w:rFonts w:ascii="Times New Roman" w:hAnsi="Times New Roman" w:cs="Times New Roman"/>
          <w:bCs w:val="0"/>
          <w:sz w:val="24"/>
          <w:szCs w:val="24"/>
        </w:rPr>
        <w:t xml:space="preserve">повторном </w:t>
      </w:r>
      <w:r w:rsidRPr="00B664AE">
        <w:rPr>
          <w:rFonts w:ascii="Times New Roman" w:hAnsi="Times New Roman" w:cs="Times New Roman"/>
          <w:bCs w:val="0"/>
          <w:sz w:val="24"/>
          <w:szCs w:val="24"/>
        </w:rPr>
        <w:t>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r w:rsidR="00FE0C58">
        <w:rPr>
          <w:spacing w:val="2"/>
        </w:rPr>
        <w:t xml:space="preserve">повторного </w:t>
      </w:r>
      <w:proofErr w:type="gramStart"/>
      <w:r w:rsidRPr="00B664AE">
        <w:rPr>
          <w:spacing w:val="2"/>
        </w:rPr>
        <w:t>тендера</w:t>
      </w:r>
      <w:proofErr w:type="gramEnd"/>
      <w:r w:rsidRPr="00B664AE">
        <w:rPr>
          <w:spacing w:val="2"/>
        </w:rPr>
        <w:t xml:space="preserve">/ объявление и </w:t>
      </w:r>
      <w:r w:rsidR="00FE0C58" w:rsidRPr="00FE0C58">
        <w:rPr>
          <w:spacing w:val="2"/>
        </w:rPr>
        <w:t>Правил  организации и проведения закупа лекарственных средств и медицинских изделий, фармацевтических услуг</w:t>
      </w:r>
      <w:r w:rsidRPr="00B664AE">
        <w:rPr>
          <w:spacing w:val="2"/>
        </w:rPr>
        <w:t>, утвержденные постановлением Правительства Республики Казахстан</w:t>
      </w:r>
      <w:r w:rsidRPr="00B664AE">
        <w:rPr>
          <w:spacing w:val="2"/>
        </w:rPr>
        <w:br/>
        <w:t>от30 октября 2009 года № 1729,</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w:t>
      </w:r>
      <w:r w:rsidR="00FE0C58">
        <w:rPr>
          <w:spacing w:val="2"/>
        </w:rPr>
        <w:t xml:space="preserve">повторного </w:t>
      </w:r>
      <w:r w:rsidRPr="00B664AE">
        <w:rPr>
          <w:spacing w:val="2"/>
        </w:rPr>
        <w:t>тендера/двухэтапного тендера)</w:t>
      </w:r>
    </w:p>
    <w:p w:rsidR="008629D6" w:rsidRPr="00B664AE" w:rsidRDefault="008629D6" w:rsidP="008629D6">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4</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8629D6" w:rsidRPr="00B664AE" w:rsidTr="00CB75AF">
        <w:tc>
          <w:tcPr>
            <w:tcW w:w="477"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ind w:firstLine="709"/>
              <w:jc w:val="center"/>
              <w:textAlignment w:val="baseline"/>
              <w:rPr>
                <w:spacing w:val="2"/>
              </w:rPr>
            </w:pPr>
          </w:p>
          <w:p w:rsidR="008629D6" w:rsidRPr="00B664AE" w:rsidRDefault="008629D6" w:rsidP="00CB75AF">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Оригинал, копия, нотариально</w:t>
            </w:r>
          </w:p>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Стр.</w:t>
            </w:r>
          </w:p>
        </w:tc>
      </w:tr>
    </w:tbl>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5</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Наименование </w:t>
      </w:r>
      <w:r w:rsidR="00FE0C58">
        <w:rPr>
          <w:spacing w:val="2"/>
        </w:rPr>
        <w:t xml:space="preserve">повторного </w:t>
      </w:r>
      <w:r w:rsidRPr="00B664AE">
        <w:rPr>
          <w:spacing w:val="2"/>
        </w:rPr>
        <w:t>тендера __________________________________________</w:t>
      </w:r>
    </w:p>
    <w:p w:rsidR="008629D6" w:rsidRPr="00B664AE" w:rsidRDefault="008629D6" w:rsidP="00E81958">
      <w:pPr>
        <w:pStyle w:val="af3"/>
        <w:numPr>
          <w:ilvl w:val="0"/>
          <w:numId w:val="4"/>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8629D6" w:rsidRPr="00B664AE" w:rsidRDefault="008629D6" w:rsidP="008629D6">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8629D6" w:rsidRPr="00B664AE" w:rsidTr="00CB75AF">
        <w:tc>
          <w:tcPr>
            <w:tcW w:w="986"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8629D6" w:rsidRPr="00B664AE" w:rsidTr="00CB75AF">
        <w:trPr>
          <w:trHeight w:val="22"/>
        </w:trPr>
        <w:tc>
          <w:tcPr>
            <w:tcW w:w="986"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6</w:t>
            </w: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664AE" w:rsidTr="00CB75AF">
        <w:trPr>
          <w:trHeight w:val="2202"/>
        </w:trPr>
        <w:tc>
          <w:tcPr>
            <w:tcW w:w="637"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8629D6" w:rsidRPr="00B664AE" w:rsidRDefault="008629D6" w:rsidP="008629D6">
      <w:pPr>
        <w:pStyle w:val="j15"/>
        <w:shd w:val="clear" w:color="auto" w:fill="FFFFFF"/>
        <w:spacing w:before="0" w:beforeAutospacing="0" w:after="0" w:afterAutospacing="0"/>
        <w:ind w:firstLine="6804"/>
        <w:jc w:val="right"/>
        <w:textAlignment w:val="baseline"/>
        <w:rPr>
          <w:lang w:val="kk-KZ"/>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6</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2C2654">
      <w:pPr>
        <w:pStyle w:val="3"/>
        <w:shd w:val="clear" w:color="auto" w:fill="FFFFFF"/>
        <w:spacing w:before="0" w:after="0"/>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664AE" w:rsidTr="00CB75AF">
        <w:tc>
          <w:tcPr>
            <w:tcW w:w="642"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товаров</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3</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8629D6" w:rsidRPr="00B664AE" w:rsidRDefault="008629D6" w:rsidP="00CB75AF">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Всего цена = стр.5 х стр.6, </w:t>
            </w:r>
          </w:p>
          <w:p w:rsidR="008629D6" w:rsidRPr="00B664AE" w:rsidRDefault="008629D6" w:rsidP="00CB75AF">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8629D6" w:rsidRPr="00B664AE" w:rsidRDefault="008629D6" w:rsidP="00CB75AF">
            <w:pPr>
              <w:pStyle w:val="af3"/>
              <w:spacing w:before="0" w:beforeAutospacing="0" w:after="0" w:afterAutospacing="0"/>
              <w:textAlignment w:val="baseline"/>
              <w:rPr>
                <w:spacing w:val="2"/>
              </w:rPr>
            </w:pPr>
          </w:p>
          <w:p w:rsidR="008629D6" w:rsidRPr="00B664AE" w:rsidRDefault="008629D6" w:rsidP="00CB75AF">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8629D6" w:rsidRPr="00B664AE" w:rsidRDefault="008629D6" w:rsidP="00CB75AF">
            <w:pPr>
              <w:pStyle w:val="af3"/>
              <w:spacing w:before="0" w:beforeAutospacing="0" w:after="0" w:afterAutospacing="0"/>
              <w:textAlignment w:val="baseline"/>
              <w:rPr>
                <w:spacing w:val="2"/>
              </w:rPr>
            </w:pPr>
            <w:r w:rsidRPr="00B664AE">
              <w:rPr>
                <w:spacing w:val="2"/>
              </w:rPr>
              <w:t>8.1.</w:t>
            </w:r>
          </w:p>
          <w:p w:rsidR="008629D6" w:rsidRPr="00B664AE" w:rsidRDefault="008629D6" w:rsidP="00CB75AF">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rPr>
          <w:trHeight w:val="504"/>
        </w:trPr>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bl>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Default="008629D6" w:rsidP="008629D6">
      <w:pPr>
        <w:pStyle w:val="j15"/>
        <w:shd w:val="clear" w:color="auto" w:fill="FFFFFF"/>
        <w:spacing w:before="0" w:beforeAutospacing="0" w:after="0" w:afterAutospacing="0"/>
        <w:textAlignment w:val="baseline"/>
      </w:pPr>
    </w:p>
    <w:p w:rsidR="002C2654" w:rsidRPr="00B664AE" w:rsidRDefault="002C2654"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7</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p>
    <w:p w:rsidR="008629D6" w:rsidRPr="00B664AE" w:rsidRDefault="008629D6" w:rsidP="008629D6">
      <w:pPr>
        <w:pStyle w:val="af3"/>
        <w:shd w:val="clear" w:color="auto" w:fill="FFFFFF"/>
        <w:spacing w:before="0" w:beforeAutospacing="0" w:after="0" w:afterAutospacing="0"/>
        <w:ind w:firstLine="709"/>
        <w:jc w:val="center"/>
        <w:textAlignment w:val="baseline"/>
        <w:rPr>
          <w:bCs/>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Дата</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ind w:firstLine="6804"/>
        <w:jc w:val="right"/>
        <w:textAlignment w:val="baseline"/>
      </w:pPr>
    </w:p>
    <w:p w:rsidR="002C2654" w:rsidRPr="00B664AE" w:rsidRDefault="002C2654" w:rsidP="008629D6">
      <w:pPr>
        <w:pStyle w:val="j15"/>
        <w:shd w:val="clear" w:color="auto" w:fill="FFFFFF"/>
        <w:spacing w:before="0" w:beforeAutospacing="0" w:after="0" w:afterAutospacing="0"/>
        <w:ind w:firstLine="6804"/>
        <w:jc w:val="right"/>
        <w:textAlignment w:val="baseline"/>
      </w:pPr>
    </w:p>
    <w:p w:rsidR="008629D6" w:rsidRDefault="008629D6" w:rsidP="008629D6">
      <w:pPr>
        <w:rPr>
          <w:sz w:val="24"/>
          <w:szCs w:val="24"/>
        </w:rPr>
      </w:pPr>
    </w:p>
    <w:p w:rsidR="008629D6" w:rsidRPr="00307A59" w:rsidRDefault="008629D6" w:rsidP="008629D6">
      <w:pPr>
        <w:jc w:val="right"/>
        <w:rPr>
          <w:bCs/>
          <w:i/>
        </w:rPr>
      </w:pPr>
      <w:r w:rsidRPr="00307A59">
        <w:rPr>
          <w:bCs/>
          <w:i/>
        </w:rPr>
        <w:lastRenderedPageBreak/>
        <w:t xml:space="preserve">Приложение </w:t>
      </w:r>
      <w:r>
        <w:rPr>
          <w:bCs/>
          <w:i/>
        </w:rPr>
        <w:t>8</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3"/>
        <w:shd w:val="clear" w:color="auto" w:fill="FFFFFF"/>
        <w:spacing w:before="0" w:beforeAutospacing="0" w:after="0" w:afterAutospacing="0"/>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8629D6" w:rsidRPr="00B664AE" w:rsidRDefault="008629D6" w:rsidP="008629D6">
      <w:pPr>
        <w:jc w:val="both"/>
        <w:rPr>
          <w:spacing w:val="2"/>
          <w:sz w:val="24"/>
          <w:szCs w:val="24"/>
        </w:rPr>
      </w:pPr>
      <w:r w:rsidRPr="00B664AE">
        <w:rPr>
          <w:spacing w:val="2"/>
          <w:sz w:val="24"/>
          <w:szCs w:val="24"/>
        </w:rPr>
        <w:t>Кому ______________________________________________________________</w:t>
      </w:r>
    </w:p>
    <w:p w:rsidR="008629D6" w:rsidRPr="00B664AE" w:rsidRDefault="008629D6" w:rsidP="008629D6">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j15"/>
        <w:shd w:val="clear" w:color="auto" w:fill="FFFFFF"/>
        <w:spacing w:before="0" w:beforeAutospacing="0" w:after="0" w:afterAutospacing="0"/>
        <w:ind w:firstLine="6237"/>
        <w:jc w:val="right"/>
        <w:textAlignment w:val="baseline"/>
      </w:pPr>
    </w:p>
    <w:p w:rsidR="008629D6" w:rsidRDefault="008629D6" w:rsidP="008629D6">
      <w:pPr>
        <w:tabs>
          <w:tab w:val="left" w:pos="7530"/>
        </w:tabs>
        <w:jc w:val="right"/>
        <w:rPr>
          <w:sz w:val="24"/>
          <w:szCs w:val="24"/>
        </w:rPr>
      </w:pPr>
    </w:p>
    <w:p w:rsidR="008629D6" w:rsidRPr="00307A59" w:rsidRDefault="008629D6" w:rsidP="008629D6">
      <w:pPr>
        <w:jc w:val="right"/>
        <w:rPr>
          <w:bCs/>
          <w:i/>
        </w:rPr>
      </w:pPr>
      <w:r w:rsidRPr="00307A59">
        <w:rPr>
          <w:bCs/>
          <w:i/>
        </w:rPr>
        <w:t xml:space="preserve">Приложение </w:t>
      </w:r>
      <w:r>
        <w:rPr>
          <w:bCs/>
          <w:i/>
        </w:rPr>
        <w:t>9</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tabs>
          <w:tab w:val="left" w:pos="7530"/>
        </w:tabs>
        <w:jc w:val="right"/>
        <w:rPr>
          <w:sz w:val="24"/>
          <w:szCs w:val="24"/>
        </w:rPr>
      </w:pPr>
    </w:p>
    <w:p w:rsidR="008629D6" w:rsidRPr="00746F2A" w:rsidRDefault="008629D6" w:rsidP="008629D6">
      <w:pPr>
        <w:jc w:val="center"/>
        <w:rPr>
          <w:rFonts w:eastAsia="Arial Unicode MS"/>
          <w:b/>
          <w:sz w:val="24"/>
          <w:szCs w:val="24"/>
        </w:rPr>
      </w:pPr>
      <w:r w:rsidRPr="00746F2A">
        <w:rPr>
          <w:rFonts w:eastAsia="Arial Unicode MS"/>
          <w:b/>
          <w:sz w:val="24"/>
          <w:szCs w:val="24"/>
        </w:rPr>
        <w:t>Типовой договор закупа</w:t>
      </w:r>
    </w:p>
    <w:p w:rsidR="008629D6" w:rsidRPr="0020015E" w:rsidRDefault="008629D6" w:rsidP="008629D6">
      <w:pPr>
        <w:jc w:val="center"/>
        <w:rPr>
          <w:rFonts w:eastAsia="Arial Unicode MS"/>
          <w:sz w:val="24"/>
          <w:szCs w:val="24"/>
        </w:rPr>
      </w:pPr>
      <w:r w:rsidRPr="0020015E">
        <w:rPr>
          <w:rFonts w:eastAsia="Arial Unicode MS"/>
          <w:sz w:val="24"/>
          <w:szCs w:val="24"/>
        </w:rPr>
        <w:t xml:space="preserve"> </w:t>
      </w:r>
    </w:p>
    <w:p w:rsidR="008629D6" w:rsidRPr="00746F2A" w:rsidRDefault="008629D6" w:rsidP="008629D6">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8629D6" w:rsidRPr="00746F2A" w:rsidRDefault="008629D6" w:rsidP="008629D6">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8629D6" w:rsidRPr="00746F2A" w:rsidRDefault="008629D6" w:rsidP="008629D6">
      <w:pPr>
        <w:jc w:val="both"/>
        <w:rPr>
          <w:rFonts w:eastAsia="Arial Unicode MS"/>
          <w:sz w:val="24"/>
          <w:szCs w:val="24"/>
        </w:rPr>
      </w:pPr>
      <w:r w:rsidRPr="00746F2A">
        <w:rPr>
          <w:rFonts w:eastAsia="Arial Unicode MS"/>
          <w:sz w:val="24"/>
          <w:szCs w:val="24"/>
        </w:rPr>
        <w:t>в лице _________________________________________________________________,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(устава, положения)</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 настоящий Договор;</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перечень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техническая спецификация;</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8629D6" w:rsidRDefault="008629D6" w:rsidP="008629D6">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8629D6" w:rsidRDefault="008629D6" w:rsidP="008629D6">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46. Адреса и реквизиты Сторон:</w:t>
      </w:r>
    </w:p>
    <w:p w:rsidR="008629D6" w:rsidRPr="00746F2A" w:rsidRDefault="008629D6" w:rsidP="008629D6">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8629D6" w:rsidRPr="00746F2A" w:rsidRDefault="008629D6" w:rsidP="008629D6">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20DEF" w:rsidRDefault="00120DEF"/>
    <w:sectPr w:rsidR="00120DEF" w:rsidSect="00CB75AF">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F8" w:rsidRDefault="00C803F8">
      <w:r>
        <w:separator/>
      </w:r>
    </w:p>
  </w:endnote>
  <w:endnote w:type="continuationSeparator" w:id="0">
    <w:p w:rsidR="00C803F8" w:rsidRDefault="00C8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F8" w:rsidRDefault="00C803F8">
    <w:pPr>
      <w:pStyle w:val="af"/>
      <w:jc w:val="right"/>
    </w:pPr>
  </w:p>
  <w:p w:rsidR="00C803F8" w:rsidRDefault="00C803F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F8" w:rsidRDefault="00C803F8"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803F8" w:rsidRDefault="00C803F8"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F8" w:rsidRDefault="00C803F8"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F8" w:rsidRDefault="00C803F8">
      <w:r>
        <w:separator/>
      </w:r>
    </w:p>
  </w:footnote>
  <w:footnote w:type="continuationSeparator" w:id="0">
    <w:p w:rsidR="00C803F8" w:rsidRDefault="00C80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F8" w:rsidRDefault="00C803F8">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40" w:hanging="360"/>
      </w:pPr>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2517C"/>
    <w:rsid w:val="000B553E"/>
    <w:rsid w:val="000C02FD"/>
    <w:rsid w:val="000D24C8"/>
    <w:rsid w:val="000D2BBD"/>
    <w:rsid w:val="000D7F90"/>
    <w:rsid w:val="0012005D"/>
    <w:rsid w:val="00120DEF"/>
    <w:rsid w:val="0012406D"/>
    <w:rsid w:val="00135AA2"/>
    <w:rsid w:val="00141AFD"/>
    <w:rsid w:val="0018202C"/>
    <w:rsid w:val="00187A26"/>
    <w:rsid w:val="00191BD0"/>
    <w:rsid w:val="001A2B2B"/>
    <w:rsid w:val="001A420E"/>
    <w:rsid w:val="001B7168"/>
    <w:rsid w:val="001C1A4F"/>
    <w:rsid w:val="001D2B6C"/>
    <w:rsid w:val="001F125E"/>
    <w:rsid w:val="0020784F"/>
    <w:rsid w:val="00214661"/>
    <w:rsid w:val="00235BB3"/>
    <w:rsid w:val="00243C60"/>
    <w:rsid w:val="002619D9"/>
    <w:rsid w:val="00264795"/>
    <w:rsid w:val="00271ED2"/>
    <w:rsid w:val="00272675"/>
    <w:rsid w:val="0027380E"/>
    <w:rsid w:val="00273ABC"/>
    <w:rsid w:val="002A1326"/>
    <w:rsid w:val="002A17C0"/>
    <w:rsid w:val="002C00EF"/>
    <w:rsid w:val="002C210D"/>
    <w:rsid w:val="002C2654"/>
    <w:rsid w:val="002E2EC8"/>
    <w:rsid w:val="00303F08"/>
    <w:rsid w:val="00305F76"/>
    <w:rsid w:val="00307D40"/>
    <w:rsid w:val="00340BA3"/>
    <w:rsid w:val="00353081"/>
    <w:rsid w:val="00376309"/>
    <w:rsid w:val="00381848"/>
    <w:rsid w:val="003B0538"/>
    <w:rsid w:val="003B1661"/>
    <w:rsid w:val="0041283C"/>
    <w:rsid w:val="00460FAE"/>
    <w:rsid w:val="004C57C0"/>
    <w:rsid w:val="004D026B"/>
    <w:rsid w:val="004D7AFA"/>
    <w:rsid w:val="005813B7"/>
    <w:rsid w:val="005B2FF6"/>
    <w:rsid w:val="005B4600"/>
    <w:rsid w:val="005C4BBB"/>
    <w:rsid w:val="005F4A05"/>
    <w:rsid w:val="0060017C"/>
    <w:rsid w:val="00633D04"/>
    <w:rsid w:val="00636300"/>
    <w:rsid w:val="006629AA"/>
    <w:rsid w:val="00675FCA"/>
    <w:rsid w:val="00695E2E"/>
    <w:rsid w:val="00696C46"/>
    <w:rsid w:val="006A56CC"/>
    <w:rsid w:val="006A6D55"/>
    <w:rsid w:val="006C19CD"/>
    <w:rsid w:val="006C6DAC"/>
    <w:rsid w:val="006D16E0"/>
    <w:rsid w:val="00701FCA"/>
    <w:rsid w:val="00703786"/>
    <w:rsid w:val="007251D4"/>
    <w:rsid w:val="0074269E"/>
    <w:rsid w:val="00761B9D"/>
    <w:rsid w:val="00772B8A"/>
    <w:rsid w:val="00793810"/>
    <w:rsid w:val="007A0D86"/>
    <w:rsid w:val="007C2C4D"/>
    <w:rsid w:val="007D2CCE"/>
    <w:rsid w:val="008379A7"/>
    <w:rsid w:val="008432E5"/>
    <w:rsid w:val="008463DC"/>
    <w:rsid w:val="008503DE"/>
    <w:rsid w:val="008569E4"/>
    <w:rsid w:val="008629D6"/>
    <w:rsid w:val="00872D68"/>
    <w:rsid w:val="00876086"/>
    <w:rsid w:val="008859EB"/>
    <w:rsid w:val="0089643F"/>
    <w:rsid w:val="00896789"/>
    <w:rsid w:val="008B15F7"/>
    <w:rsid w:val="008D47C5"/>
    <w:rsid w:val="008E4499"/>
    <w:rsid w:val="008F0CC0"/>
    <w:rsid w:val="0090168C"/>
    <w:rsid w:val="00917E02"/>
    <w:rsid w:val="00922A1A"/>
    <w:rsid w:val="00942476"/>
    <w:rsid w:val="009446B2"/>
    <w:rsid w:val="0094513B"/>
    <w:rsid w:val="0095296D"/>
    <w:rsid w:val="009538E1"/>
    <w:rsid w:val="0098769A"/>
    <w:rsid w:val="009A36A9"/>
    <w:rsid w:val="009B06BE"/>
    <w:rsid w:val="009D41BF"/>
    <w:rsid w:val="009F4FCA"/>
    <w:rsid w:val="00A1471C"/>
    <w:rsid w:val="00A35285"/>
    <w:rsid w:val="00A810A0"/>
    <w:rsid w:val="00A8260F"/>
    <w:rsid w:val="00A831A4"/>
    <w:rsid w:val="00A84090"/>
    <w:rsid w:val="00A90934"/>
    <w:rsid w:val="00AB602F"/>
    <w:rsid w:val="00AC15DA"/>
    <w:rsid w:val="00AD1E88"/>
    <w:rsid w:val="00AD469F"/>
    <w:rsid w:val="00AE7AD0"/>
    <w:rsid w:val="00B24DD4"/>
    <w:rsid w:val="00B37ACD"/>
    <w:rsid w:val="00B51B30"/>
    <w:rsid w:val="00B61CF8"/>
    <w:rsid w:val="00B87807"/>
    <w:rsid w:val="00B94ED8"/>
    <w:rsid w:val="00BC0851"/>
    <w:rsid w:val="00BE5672"/>
    <w:rsid w:val="00BE7064"/>
    <w:rsid w:val="00BF77B0"/>
    <w:rsid w:val="00C04980"/>
    <w:rsid w:val="00C07BCF"/>
    <w:rsid w:val="00C14089"/>
    <w:rsid w:val="00C30AD5"/>
    <w:rsid w:val="00C3664F"/>
    <w:rsid w:val="00C404E5"/>
    <w:rsid w:val="00C46617"/>
    <w:rsid w:val="00C7134A"/>
    <w:rsid w:val="00C803F8"/>
    <w:rsid w:val="00CA077D"/>
    <w:rsid w:val="00CB75AF"/>
    <w:rsid w:val="00CC6A67"/>
    <w:rsid w:val="00CD71BB"/>
    <w:rsid w:val="00CE75EE"/>
    <w:rsid w:val="00CF2C46"/>
    <w:rsid w:val="00D02464"/>
    <w:rsid w:val="00D03014"/>
    <w:rsid w:val="00D061C1"/>
    <w:rsid w:val="00D304DE"/>
    <w:rsid w:val="00D73D91"/>
    <w:rsid w:val="00D831A1"/>
    <w:rsid w:val="00DD2ACE"/>
    <w:rsid w:val="00E025DB"/>
    <w:rsid w:val="00E12CF4"/>
    <w:rsid w:val="00E2248A"/>
    <w:rsid w:val="00E34841"/>
    <w:rsid w:val="00E43DF9"/>
    <w:rsid w:val="00E5072A"/>
    <w:rsid w:val="00E64D4E"/>
    <w:rsid w:val="00E6545A"/>
    <w:rsid w:val="00E74DFC"/>
    <w:rsid w:val="00E77CE6"/>
    <w:rsid w:val="00E81958"/>
    <w:rsid w:val="00EB4506"/>
    <w:rsid w:val="00EC2252"/>
    <w:rsid w:val="00EF0D62"/>
    <w:rsid w:val="00F168CF"/>
    <w:rsid w:val="00F22F3F"/>
    <w:rsid w:val="00F7623F"/>
    <w:rsid w:val="00F96162"/>
    <w:rsid w:val="00FD1F51"/>
    <w:rsid w:val="00FE0C58"/>
    <w:rsid w:val="00FE1BB8"/>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3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3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727949137">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D6ED-4215-4A3D-A826-5BCC526F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27</Pages>
  <Words>10440</Words>
  <Characters>59511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151</cp:revision>
  <cp:lastPrinted>2020-01-24T03:04:00Z</cp:lastPrinted>
  <dcterms:created xsi:type="dcterms:W3CDTF">2020-01-09T04:48:00Z</dcterms:created>
  <dcterms:modified xsi:type="dcterms:W3CDTF">2020-02-24T08:51:00Z</dcterms:modified>
</cp:coreProperties>
</file>