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9F7D18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9F7D18">
        <w:rPr>
          <w:rFonts w:ascii="Times New Roman" w:hAnsi="Times New Roman" w:cs="Times New Roman"/>
          <w:b/>
          <w:lang w:val="kk-KZ"/>
        </w:rPr>
        <w:t>67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2427DF" w:rsidRDefault="005E2E1C" w:rsidP="002427DF">
            <w:pPr>
              <w:rPr>
                <w:rFonts w:ascii="Times New Roman" w:hAnsi="Times New Roman" w:cs="Times New Roman"/>
                <w:lang w:val="kk-KZ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r w:rsidR="002427DF">
              <w:rPr>
                <w:rFonts w:ascii="Times New Roman" w:hAnsi="Times New Roman" w:cs="Times New Roman"/>
                <w:lang w:val="kk-KZ"/>
              </w:rPr>
              <w:t>со дня устной заявки заказчика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27427F" w:rsidP="007B68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427F">
              <w:rPr>
                <w:rFonts w:ascii="Times New Roman" w:hAnsi="Times New Roman" w:cs="Times New Roman"/>
                <w:color w:val="000000"/>
              </w:rPr>
              <w:t>486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7427F">
              <w:rPr>
                <w:rFonts w:ascii="Times New Roman" w:hAnsi="Times New Roman" w:cs="Times New Roman"/>
                <w:color w:val="000000"/>
              </w:rPr>
              <w:t>287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27427F">
              <w:rPr>
                <w:rFonts w:ascii="Times New Roman" w:hAnsi="Times New Roman" w:cs="Times New Roman"/>
                <w:color w:val="000000"/>
              </w:rPr>
              <w:t>Четыреста восемьдесят шесть тысяч двести восемьдесят семь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A57C54" w:rsidRDefault="0027427F" w:rsidP="00B20F8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A57C54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proofErr w:type="spellStart"/>
            <w:proofErr w:type="gramStart"/>
            <w:r w:rsidR="00571730">
              <w:rPr>
                <w:rFonts w:ascii="Times New Roman" w:hAnsi="Times New Roman" w:cs="Times New Roman"/>
              </w:rPr>
              <w:t>медицинск</w:t>
            </w:r>
            <w:bookmarkStart w:id="0" w:name="_GoBack"/>
            <w:bookmarkEnd w:id="0"/>
            <w:proofErr w:type="spellEnd"/>
            <w:r w:rsidR="00A57C54">
              <w:rPr>
                <w:rFonts w:ascii="Times New Roman" w:hAnsi="Times New Roman" w:cs="Times New Roman"/>
                <w:lang w:val="kk-KZ"/>
              </w:rPr>
              <w:t>их</w:t>
            </w:r>
            <w:proofErr w:type="gramEnd"/>
            <w:r w:rsidR="00571730">
              <w:rPr>
                <w:rFonts w:ascii="Times New Roman" w:hAnsi="Times New Roman" w:cs="Times New Roman"/>
              </w:rPr>
              <w:t xml:space="preserve"> </w:t>
            </w:r>
            <w:r w:rsidR="00A57C54">
              <w:rPr>
                <w:rFonts w:ascii="Times New Roman" w:hAnsi="Times New Roman" w:cs="Times New Roman"/>
              </w:rPr>
              <w:t>изделии</w:t>
            </w:r>
            <w:r w:rsidR="00015B37" w:rsidRPr="00015B37">
              <w:rPr>
                <w:rFonts w:ascii="Times New Roman" w:hAnsi="Times New Roman" w:cs="Times New Roman"/>
              </w:rPr>
              <w:t xml:space="preserve"> </w:t>
            </w:r>
            <w:r w:rsidR="00E73CA9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A57C54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 августа</w:t>
            </w:r>
            <w:r w:rsidR="00015B37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A57C54" w:rsidP="005A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25 августа</w:t>
            </w:r>
            <w:r w:rsidR="005A1AEC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A57C54" w:rsidP="00A5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  <w:r w:rsidR="005A1A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августа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560"/>
        <w:gridCol w:w="708"/>
        <w:gridCol w:w="709"/>
        <w:gridCol w:w="1418"/>
      </w:tblGrid>
      <w:tr w:rsidR="006B7BCB" w:rsidRPr="009B2E2A" w:rsidTr="005A1AEC">
        <w:tc>
          <w:tcPr>
            <w:tcW w:w="66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560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2E2A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9B2E2A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8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1165E" w:rsidRPr="009B2E2A" w:rsidTr="00D1165E">
        <w:tc>
          <w:tcPr>
            <w:tcW w:w="668" w:type="dxa"/>
            <w:vAlign w:val="center"/>
          </w:tcPr>
          <w:p w:rsidR="00D1165E" w:rsidRPr="009B2E2A" w:rsidRDefault="00D11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D1165E" w:rsidRPr="00D1165E" w:rsidRDefault="00D1165E" w:rsidP="00D11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эндокардиальный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временный для наружных электрокардиостимуляторов</w:t>
            </w:r>
          </w:p>
        </w:tc>
        <w:tc>
          <w:tcPr>
            <w:tcW w:w="2551" w:type="dxa"/>
            <w:vAlign w:val="center"/>
          </w:tcPr>
          <w:p w:rsidR="00D1165E" w:rsidRPr="00D1165E" w:rsidRDefault="00D1165E" w:rsidP="00D11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Режим стимуляции VVI, VOO.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диаметр не более 5.7 F. Общая длина не менее 100 см. Конфигурация дистального конца -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̆. </w:t>
            </w:r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Контакт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дистальныи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(катод V) не более 5.7 F. Площадь не менее 12 мм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Материал - титан. Эл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опротивление спирали катода не более 60 Ом.</w:t>
            </w:r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Контакт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проксимальныи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(анод V) не более 5.4 F. Площадь не менее 22 мм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.Материал -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FeCrNi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Эл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опротивление спирали анода не более 60 Ом </w:t>
            </w:r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Межконтактное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расстояние не более 10 мм. </w:t>
            </w:r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Изолятор не более 5.4 F. Материал полиэтилен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рентгеноконтрастныйю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Коннектор однополюсные штекеры 2 мм, 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чёрныи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̆, «+»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̆, с защитными колпачками. Опции: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направитель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0.35 мм. 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защитных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колпачкков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штекерах для повышенной безопасности от попадания на контакты электрода статического электричества.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водонепроницаемого клапана (для введения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направителя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Совместимость со всеми существующими </w:t>
            </w:r>
            <w:proofErr w:type="spellStart"/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разъёмами</w:t>
            </w:r>
            <w:proofErr w:type="spellEnd"/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наружных ЭКС.</w:t>
            </w:r>
          </w:p>
        </w:tc>
        <w:tc>
          <w:tcPr>
            <w:tcW w:w="1560" w:type="dxa"/>
            <w:vAlign w:val="center"/>
          </w:tcPr>
          <w:p w:rsidR="00D1165E" w:rsidRPr="00D1165E" w:rsidRDefault="00D1165E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48 910</w:t>
            </w:r>
          </w:p>
        </w:tc>
        <w:tc>
          <w:tcPr>
            <w:tcW w:w="708" w:type="dxa"/>
            <w:vAlign w:val="center"/>
          </w:tcPr>
          <w:p w:rsidR="00D1165E" w:rsidRPr="00D1165E" w:rsidRDefault="00D1165E" w:rsidP="004773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D1165E" w:rsidRPr="00D1165E" w:rsidRDefault="00D1165E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  <w:tc>
          <w:tcPr>
            <w:tcW w:w="1418" w:type="dxa"/>
            <w:vAlign w:val="center"/>
          </w:tcPr>
          <w:p w:rsidR="00D1165E" w:rsidRPr="00D1165E" w:rsidRDefault="00D1165E" w:rsidP="009B2E2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97 820</w:t>
            </w:r>
          </w:p>
        </w:tc>
      </w:tr>
      <w:tr w:rsidR="00D1165E" w:rsidRPr="009B2E2A" w:rsidTr="00D1165E">
        <w:tc>
          <w:tcPr>
            <w:tcW w:w="668" w:type="dxa"/>
            <w:vAlign w:val="center"/>
          </w:tcPr>
          <w:p w:rsidR="00D1165E" w:rsidRPr="00D1165E" w:rsidRDefault="00D1165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992" w:type="dxa"/>
            <w:vAlign w:val="center"/>
          </w:tcPr>
          <w:p w:rsidR="00D1165E" w:rsidRPr="00D1165E" w:rsidRDefault="00D1165E" w:rsidP="00D11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эндокардиальный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временный для наружных электрокардиостимуляторов</w:t>
            </w:r>
          </w:p>
        </w:tc>
        <w:tc>
          <w:tcPr>
            <w:tcW w:w="2551" w:type="dxa"/>
            <w:vAlign w:val="center"/>
          </w:tcPr>
          <w:p w:rsidR="00D1165E" w:rsidRPr="00D1165E" w:rsidRDefault="00D1165E" w:rsidP="00D11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Режим стимуляции VVI, VOO.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диаметр не более 5.7 F. Общая длина не менее 130 см. Полезная длина не менее 110 см. Конфигурация дистального конца - изогнутый. Контакт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дистальныи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(катод V) не более 5.7 F. Площадь не менее 12 мм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Материал - титан. Эл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опротивление спирали катода не более 60 Ом. Контакт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проксимальныи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(анод V) не более 5.4 F. Площадь не менее 22 мм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.Материал -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FeCrNi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Эл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опротивление спирали анода не более 60 Ом.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Межконтактное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расстояние не более 10 мм. Изолятор не более 5.4 F. Материал полиэтилен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рентгеноконтрастныйю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Коннектор однополюсные штекеры 2 мм, 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чёрныи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̆, «+»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красныи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̆, с защитными колпачками. Опции: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направитель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0.35 мм. </w:t>
            </w:r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защитных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колпачкков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штекерах для повышенной безопасности от попадания на контакты электрода статического электричества.</w:t>
            </w:r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водонепроницаемого клапана (для введения </w:t>
            </w:r>
            <w:proofErr w:type="spell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направителя</w:t>
            </w:r>
            <w:proofErr w:type="spell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Совместимость со всеми существующими </w:t>
            </w:r>
            <w:proofErr w:type="spellStart"/>
            <w:proofErr w:type="gramStart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разъёмами</w:t>
            </w:r>
            <w:proofErr w:type="spellEnd"/>
            <w:proofErr w:type="gramEnd"/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наружных ЭКС.</w:t>
            </w:r>
          </w:p>
        </w:tc>
        <w:tc>
          <w:tcPr>
            <w:tcW w:w="1560" w:type="dxa"/>
            <w:vAlign w:val="center"/>
          </w:tcPr>
          <w:p w:rsidR="00D1165E" w:rsidRPr="00D1165E" w:rsidRDefault="00D1165E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48 910</w:t>
            </w:r>
          </w:p>
        </w:tc>
        <w:tc>
          <w:tcPr>
            <w:tcW w:w="708" w:type="dxa"/>
            <w:vAlign w:val="center"/>
          </w:tcPr>
          <w:p w:rsidR="00D1165E" w:rsidRPr="00D1165E" w:rsidRDefault="00D1165E" w:rsidP="00291B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D1165E" w:rsidRPr="00D1165E" w:rsidRDefault="00D1165E" w:rsidP="00291B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  <w:tc>
          <w:tcPr>
            <w:tcW w:w="1418" w:type="dxa"/>
            <w:vAlign w:val="center"/>
          </w:tcPr>
          <w:p w:rsidR="00D1165E" w:rsidRPr="00D1165E" w:rsidRDefault="00D1165E" w:rsidP="00291BA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97 820</w:t>
            </w:r>
          </w:p>
        </w:tc>
      </w:tr>
      <w:tr w:rsidR="00D1165E" w:rsidRPr="009B2E2A" w:rsidTr="00D1165E">
        <w:tc>
          <w:tcPr>
            <w:tcW w:w="668" w:type="dxa"/>
            <w:vAlign w:val="center"/>
          </w:tcPr>
          <w:p w:rsidR="00D1165E" w:rsidRDefault="00D1165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3</w:t>
            </w:r>
          </w:p>
        </w:tc>
        <w:tc>
          <w:tcPr>
            <w:tcW w:w="1992" w:type="dxa"/>
            <w:vAlign w:val="center"/>
          </w:tcPr>
          <w:p w:rsidR="00D1165E" w:rsidRPr="00D1165E" w:rsidRDefault="00D1165E" w:rsidP="00D11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Быстрый количественный тест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D1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Dimer</w:t>
            </w:r>
          </w:p>
        </w:tc>
        <w:tc>
          <w:tcPr>
            <w:tcW w:w="2551" w:type="dxa"/>
            <w:vAlign w:val="center"/>
          </w:tcPr>
          <w:p w:rsidR="00A57C54" w:rsidRPr="00A57C54" w:rsidRDefault="00A57C54" w:rsidP="00A57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Быстрый количественный тест на D-</w:t>
            </w:r>
            <w:proofErr w:type="spellStart"/>
            <w:r w:rsidRPr="00A57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Dimer</w:t>
            </w:r>
            <w:proofErr w:type="spellEnd"/>
            <w:r w:rsidRPr="00A57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анализатора </w:t>
            </w:r>
            <w:proofErr w:type="spellStart"/>
            <w:r w:rsidRPr="00A57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Finecare</w:t>
            </w:r>
            <w:proofErr w:type="spellEnd"/>
            <w:r w:rsidRPr="00A57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FIA </w:t>
            </w:r>
            <w:proofErr w:type="spellStart"/>
            <w:r w:rsidRPr="00A57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Meter</w:t>
            </w:r>
            <w:proofErr w:type="spellEnd"/>
            <w:r w:rsidRPr="00A57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7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A57C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A5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Определяемые параметры: </w:t>
            </w:r>
            <w:r w:rsidRPr="00A57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7C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57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Dimer</w:t>
            </w:r>
            <w:r w:rsidRPr="00A5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7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Rapid</w:t>
            </w:r>
            <w:r w:rsidRPr="00A5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7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Quantitative</w:t>
            </w:r>
            <w:r w:rsidRPr="00A5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тест на </w:t>
            </w:r>
            <w:r w:rsidRPr="00A57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7C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Dimer</w:t>
            </w:r>
          </w:p>
          <w:p w:rsidR="00A57C54" w:rsidRPr="00A57C54" w:rsidRDefault="00A57C54" w:rsidP="00A57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C54">
              <w:rPr>
                <w:rFonts w:ascii="Times New Roman" w:hAnsi="Times New Roman" w:cs="Times New Roman"/>
                <w:sz w:val="20"/>
                <w:szCs w:val="20"/>
              </w:rPr>
              <w:t>Принцип теста: Количественный экспресс-тест</w:t>
            </w:r>
          </w:p>
          <w:p w:rsidR="00A57C54" w:rsidRPr="00A57C54" w:rsidRDefault="00A57C54" w:rsidP="00A57C54">
            <w:pPr>
              <w:pStyle w:val="a6"/>
              <w:jc w:val="both"/>
              <w:rPr>
                <w:sz w:val="20"/>
                <w:szCs w:val="20"/>
              </w:rPr>
            </w:pPr>
            <w:r w:rsidRPr="00A57C54">
              <w:rPr>
                <w:sz w:val="20"/>
                <w:szCs w:val="20"/>
              </w:rPr>
              <w:t xml:space="preserve">Метод теста: Флуоресцентный </w:t>
            </w:r>
            <w:proofErr w:type="spellStart"/>
            <w:r w:rsidRPr="00A57C54">
              <w:rPr>
                <w:sz w:val="20"/>
                <w:szCs w:val="20"/>
              </w:rPr>
              <w:t>иммуноанализ</w:t>
            </w:r>
            <w:proofErr w:type="spellEnd"/>
          </w:p>
          <w:p w:rsidR="00A57C54" w:rsidRPr="00A57C54" w:rsidRDefault="00A57C54" w:rsidP="00A57C54">
            <w:pPr>
              <w:pStyle w:val="a6"/>
              <w:jc w:val="both"/>
              <w:rPr>
                <w:sz w:val="20"/>
                <w:szCs w:val="20"/>
              </w:rPr>
            </w:pPr>
            <w:r w:rsidRPr="00A57C54">
              <w:rPr>
                <w:sz w:val="20"/>
                <w:szCs w:val="20"/>
              </w:rPr>
              <w:t>Режим тестирование: Стандартный тест и быстрый тест</w:t>
            </w:r>
          </w:p>
          <w:p w:rsidR="00A57C54" w:rsidRPr="00A57C54" w:rsidRDefault="00A57C54" w:rsidP="00A57C54">
            <w:pPr>
              <w:pStyle w:val="a6"/>
              <w:jc w:val="both"/>
              <w:rPr>
                <w:sz w:val="20"/>
                <w:szCs w:val="20"/>
              </w:rPr>
            </w:pPr>
            <w:r w:rsidRPr="00A57C54">
              <w:rPr>
                <w:sz w:val="20"/>
                <w:szCs w:val="20"/>
              </w:rPr>
              <w:t>Время выполнения теста: от 3 до 15 мин.</w:t>
            </w:r>
          </w:p>
          <w:p w:rsidR="00A57C54" w:rsidRPr="00A57C54" w:rsidRDefault="00A57C54" w:rsidP="00A57C54">
            <w:pPr>
              <w:pStyle w:val="a6"/>
              <w:jc w:val="both"/>
              <w:rPr>
                <w:sz w:val="20"/>
                <w:szCs w:val="20"/>
              </w:rPr>
            </w:pPr>
            <w:r w:rsidRPr="00A57C54">
              <w:rPr>
                <w:sz w:val="20"/>
                <w:szCs w:val="20"/>
              </w:rPr>
              <w:t>Количество тестов в наборе: 25 штук.</w:t>
            </w:r>
          </w:p>
          <w:p w:rsidR="00D1165E" w:rsidRPr="00A57C54" w:rsidRDefault="00A57C54" w:rsidP="00A57C54">
            <w:pPr>
              <w:pStyle w:val="a6"/>
              <w:jc w:val="both"/>
              <w:rPr>
                <w:lang w:val="kk-KZ"/>
              </w:rPr>
            </w:pPr>
            <w:proofErr w:type="spellStart"/>
            <w:r w:rsidRPr="00A57C54">
              <w:rPr>
                <w:sz w:val="20"/>
                <w:szCs w:val="20"/>
              </w:rPr>
              <w:t>Комлектация</w:t>
            </w:r>
            <w:proofErr w:type="spellEnd"/>
            <w:r w:rsidRPr="00A57C54">
              <w:rPr>
                <w:sz w:val="20"/>
                <w:szCs w:val="20"/>
              </w:rPr>
              <w:t>: Картридж-25шт, идентификационный чип картриджа-1шт, буфер-25шт, инструкция по эксплуатации-1шт.</w:t>
            </w:r>
            <w:r w:rsidRPr="008F6642">
              <w:t xml:space="preserve"> </w:t>
            </w:r>
          </w:p>
        </w:tc>
        <w:tc>
          <w:tcPr>
            <w:tcW w:w="1560" w:type="dxa"/>
            <w:vAlign w:val="center"/>
          </w:tcPr>
          <w:p w:rsidR="00D1165E" w:rsidRPr="00A57C54" w:rsidRDefault="00D1165E" w:rsidP="009B2E2A">
            <w:pPr>
              <w:jc w:val="center"/>
              <w:rPr>
                <w:rFonts w:ascii="Times New Roman" w:hAnsi="Times New Roman" w:cs="Times New Roman"/>
              </w:rPr>
            </w:pPr>
            <w:r w:rsidRPr="00A57C54"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708" w:type="dxa"/>
            <w:vAlign w:val="center"/>
          </w:tcPr>
          <w:p w:rsidR="00D1165E" w:rsidRDefault="00D1165E" w:rsidP="00291B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D1165E" w:rsidRPr="00D1165E" w:rsidRDefault="00D1165E" w:rsidP="00291B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Уп.</w:t>
            </w:r>
          </w:p>
        </w:tc>
        <w:tc>
          <w:tcPr>
            <w:tcW w:w="1418" w:type="dxa"/>
            <w:vAlign w:val="center"/>
          </w:tcPr>
          <w:p w:rsidR="00D1165E" w:rsidRDefault="00D1165E" w:rsidP="00291BA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49 000</w:t>
            </w:r>
          </w:p>
        </w:tc>
      </w:tr>
      <w:tr w:rsidR="00034DFC" w:rsidRPr="009B2E2A" w:rsidTr="00D1165E">
        <w:tc>
          <w:tcPr>
            <w:tcW w:w="668" w:type="dxa"/>
            <w:vAlign w:val="center"/>
          </w:tcPr>
          <w:p w:rsidR="00034DFC" w:rsidRDefault="00034D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92" w:type="dxa"/>
            <w:vAlign w:val="center"/>
          </w:tcPr>
          <w:p w:rsidR="00034DFC" w:rsidRPr="00034DFC" w:rsidRDefault="0003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Дыхательный контур реанимационный для новорожденных с обогревом для назального СРАР, длина 1,6м, дополнительный шланг 0,8м</w:t>
            </w:r>
          </w:p>
        </w:tc>
        <w:tc>
          <w:tcPr>
            <w:tcW w:w="2551" w:type="dxa"/>
            <w:vAlign w:val="center"/>
          </w:tcPr>
          <w:p w:rsidR="00034DFC" w:rsidRPr="00034DFC" w:rsidRDefault="00034DFC" w:rsidP="0097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Дыхательный контур реанимационный для новорожденных с обогревом для назального СРАР. Дыхательный контур однолинейный, общая длина не более 1,6м состоит из гофрированного шланга с обогревом диаметром не более 15мм, длиной не менее 1,2м, переходящим в трубку диаметром не более 6мм длиной не менее 0,3м, подводящей поток к универсальному генератору СРАР. Провод обогрева  спиральный (витой),  примыкающий к внутренним стенкам для равномерного прогрева. Разъём питания провода обогрева - двойная контактная группа с направляющим приливом, вмонтирован в жесткий соединитель 22F на камеру увлажнения увлажнителя. Соединитель имеет температурный порт 7,6мм с невыпадающей герметизирующей вставкой. Аналогичный температурный порт располагается на дистальном конце гофрированного шланга. </w:t>
            </w:r>
            <w:r w:rsidRPr="00034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Универсальный генератор  СРАР - генератор с переменным потоком - схемой разобщения инспираторного и экспираторного потоков имеет патрубки: подключения магистрали свежего потока (инспираторный поток), патрубок отвода газов (экспираторный поток) с отводящим шлангом растягивающимся диаметром не более 10мм длиной не менее 0,8 м и патрубок подключения линии мониторинга давления с подключённой линией длиной не менее 1, 6м </w:t>
            </w:r>
            <w:proofErr w:type="gram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стыковочным разъемом к аппаратуре "вставляемый </w:t>
            </w:r>
            <w:proofErr w:type="spell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Луер</w:t>
            </w:r>
            <w:proofErr w:type="spell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". Шланг выдоха имеет малые порты - разрезы для сброса давления при закупорке. К универсальному генератору может подключаться  назальная канюля или назальная маска.  Посадочное место для канюли или маски - прямоугольная ниша: </w:t>
            </w:r>
            <w:proofErr w:type="gram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= 12±0,5мм, Д = 17±0,5 мм. В нижней части генератора закреплены две подвязки длиной 14±0,5 см для фиксации генератора через отверстия шапочки.  В комплект контура входят: гофрированный дополнительный дыхательный шланг длиной не менее 0,8м для включения в контур камеры увлажнения; ленточный измеритель окружности головы для выбора шапочки с цветовой маркировкой размера и круглый шаблон для подбора размера канюли или маски. Материал: полиэтилен, полипропилен, хлопок, силикон. Упаковка: инд</w:t>
            </w:r>
            <w:r w:rsidR="00975ED3">
              <w:rPr>
                <w:rFonts w:ascii="Times New Roman" w:hAnsi="Times New Roman" w:cs="Times New Roman"/>
                <w:sz w:val="20"/>
                <w:szCs w:val="20"/>
              </w:rPr>
              <w:t>ивидуальная, клинически чистая</w:t>
            </w:r>
          </w:p>
        </w:tc>
        <w:tc>
          <w:tcPr>
            <w:tcW w:w="1560" w:type="dxa"/>
            <w:vAlign w:val="center"/>
          </w:tcPr>
          <w:p w:rsidR="00034DFC" w:rsidRPr="00A57C54" w:rsidRDefault="00975ED3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15 488</w:t>
            </w:r>
          </w:p>
        </w:tc>
        <w:tc>
          <w:tcPr>
            <w:tcW w:w="708" w:type="dxa"/>
            <w:vAlign w:val="center"/>
          </w:tcPr>
          <w:p w:rsidR="00034DFC" w:rsidRDefault="00975ED3" w:rsidP="00291B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  <w:vAlign w:val="center"/>
          </w:tcPr>
          <w:p w:rsidR="00034DFC" w:rsidRDefault="00975ED3" w:rsidP="00291B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  <w:tc>
          <w:tcPr>
            <w:tcW w:w="1418" w:type="dxa"/>
            <w:vAlign w:val="center"/>
          </w:tcPr>
          <w:p w:rsidR="00034DFC" w:rsidRDefault="00975ED3" w:rsidP="00291BA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108 416</w:t>
            </w:r>
          </w:p>
        </w:tc>
      </w:tr>
      <w:tr w:rsidR="00034DFC" w:rsidRPr="009B2E2A" w:rsidTr="00D1165E">
        <w:tc>
          <w:tcPr>
            <w:tcW w:w="668" w:type="dxa"/>
            <w:vAlign w:val="center"/>
          </w:tcPr>
          <w:p w:rsidR="00034DFC" w:rsidRDefault="00034D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5</w:t>
            </w:r>
          </w:p>
        </w:tc>
        <w:tc>
          <w:tcPr>
            <w:tcW w:w="1992" w:type="dxa"/>
            <w:vAlign w:val="center"/>
          </w:tcPr>
          <w:p w:rsidR="00034DFC" w:rsidRPr="00034DFC" w:rsidRDefault="00034DFC" w:rsidP="0097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Дыхательный контур реанимационный для новорожденных </w:t>
            </w:r>
            <w:r w:rsidRPr="00034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обогревом для назального СРАР, длина 1,6м/0,5м, с линией мониторинга, с линией для инспираторного порта аппарата </w:t>
            </w:r>
            <w:proofErr w:type="spell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Fabian</w:t>
            </w:r>
            <w:proofErr w:type="spell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34DFC" w:rsidRPr="00034DFC" w:rsidRDefault="00034DFC" w:rsidP="0097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Дыхательный контур реанимационный для новорожденных с обогревом для назального </w:t>
            </w:r>
            <w:r w:rsidRPr="00034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СРАР с линией для инспираторного тракта с портом для аппарата </w:t>
            </w:r>
            <w:proofErr w:type="spell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Fabian</w:t>
            </w:r>
            <w:proofErr w:type="spell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. Дыхательный контур </w:t>
            </w:r>
            <w:proofErr w:type="spell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nFlow</w:t>
            </w:r>
            <w:proofErr w:type="spell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однолинейный, общая длина не менее 1,6м состоит из гофрированного шланга с обогревом диаметром 15мм, длиной не менее 1,2м, переходящим в трубку диаметром 6мм длиной не менее 0,5м, подводящей поток к универсальному генератору СРАР. Провод обогрева  спиральный (витой),  примыкающий к внутренним стенкам для равномерного прогрева. Разъём питания провода обогрева - двойная контактная группа с направляющим приливом, вмонтирован в жесткий соединитель 22F на камеру увлажнения увлажнителя. Соединитель </w:t>
            </w:r>
            <w:proofErr w:type="spell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имет</w:t>
            </w:r>
            <w:proofErr w:type="spell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температурный порт 7,6мм с невыпадающей герметизирующей вставкой. Аналогичный температурный порт располагается на дистальном конце гофрированного шланга. </w:t>
            </w:r>
            <w:proofErr w:type="gram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Универсальный генератор  СРАР - генератор с переменным потоком - схемой разобщения инспираторного и экспираторного потоков имеет патрубки: подключения магистрали свежего потока (инспираторный поток), патрубок отвода газов (экспираторный поток) с отводящим шлангом растягивающимся диаметром 10мм длиной не менее 0,8 м и патрубок подключения линии мониторинга давления с подключённой линией внутренний диаметр 3,6 мм длиной не менее 1, 6м, состоящей из двух трубок 0.5</w:t>
            </w:r>
            <w:proofErr w:type="gram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и 1,2 м с соединением "вставляемый - охватывающий </w:t>
            </w:r>
            <w:proofErr w:type="spell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Луер</w:t>
            </w:r>
            <w:proofErr w:type="spell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034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свободным концом для соединения с аппаратом. Шланг выдоха выполнен из шланга и имеет малые порты для предупреждения превышения давления при закупорке. К универсальному генератору может подключаться  назальная канюля или назальная маска.  Посадочное место для канюли или маски - прямоугольная ниша 12*17мм. В нижней части генератора закреплены две подвязки длиной 14 см для фиксации генератора через отверстия шапочки.  В комплект контура входят: трубка - линия инспираторного тракта для подключения к аппарату камеры увлажнения длиной не менее 0,6 м; ленточный </w:t>
            </w:r>
            <w:proofErr w:type="spell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имеритель</w:t>
            </w:r>
            <w:proofErr w:type="spell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окружности головы для выбора шапочки с цветовой маркировкой размера и круглый шаблон для подбора размера </w:t>
            </w:r>
            <w:proofErr w:type="spellStart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>канюди</w:t>
            </w:r>
            <w:proofErr w:type="spellEnd"/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или маски. Материал: полиэтилен, полипропилен, хлопок, силикон. Упаковка: инди</w:t>
            </w:r>
            <w:r w:rsidR="00975ED3">
              <w:rPr>
                <w:rFonts w:ascii="Times New Roman" w:hAnsi="Times New Roman" w:cs="Times New Roman"/>
                <w:sz w:val="20"/>
                <w:szCs w:val="20"/>
              </w:rPr>
              <w:t>видуальная, клинически чистая</w:t>
            </w:r>
            <w:r w:rsidRPr="0003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34DFC" w:rsidRPr="00A57C54" w:rsidRDefault="00975ED3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19 033</w:t>
            </w:r>
          </w:p>
        </w:tc>
        <w:tc>
          <w:tcPr>
            <w:tcW w:w="708" w:type="dxa"/>
            <w:vAlign w:val="center"/>
          </w:tcPr>
          <w:p w:rsidR="00034DFC" w:rsidRDefault="00975ED3" w:rsidP="00291B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  <w:vAlign w:val="center"/>
          </w:tcPr>
          <w:p w:rsidR="00034DFC" w:rsidRDefault="00975ED3" w:rsidP="00291B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  <w:tc>
          <w:tcPr>
            <w:tcW w:w="1418" w:type="dxa"/>
            <w:vAlign w:val="center"/>
          </w:tcPr>
          <w:p w:rsidR="00034DFC" w:rsidRDefault="00975ED3" w:rsidP="00291BA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133 231</w:t>
            </w:r>
          </w:p>
        </w:tc>
      </w:tr>
    </w:tbl>
    <w:p w:rsidR="00303BB9" w:rsidRPr="00D1165E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34DFC"/>
    <w:rsid w:val="000A0585"/>
    <w:rsid w:val="000D30C8"/>
    <w:rsid w:val="00197E8F"/>
    <w:rsid w:val="001E1D4F"/>
    <w:rsid w:val="001F68F9"/>
    <w:rsid w:val="002427DF"/>
    <w:rsid w:val="0027427F"/>
    <w:rsid w:val="002A242C"/>
    <w:rsid w:val="00303BB9"/>
    <w:rsid w:val="00353531"/>
    <w:rsid w:val="003621F0"/>
    <w:rsid w:val="00412694"/>
    <w:rsid w:val="00452180"/>
    <w:rsid w:val="00477371"/>
    <w:rsid w:val="004D6C83"/>
    <w:rsid w:val="0052142E"/>
    <w:rsid w:val="00571730"/>
    <w:rsid w:val="005A1AEC"/>
    <w:rsid w:val="005E2E1C"/>
    <w:rsid w:val="006B7BCB"/>
    <w:rsid w:val="006E7ABC"/>
    <w:rsid w:val="007B6855"/>
    <w:rsid w:val="007E741C"/>
    <w:rsid w:val="00804AF0"/>
    <w:rsid w:val="008E6435"/>
    <w:rsid w:val="00975ED3"/>
    <w:rsid w:val="009B2E2A"/>
    <w:rsid w:val="009D014E"/>
    <w:rsid w:val="009F7D18"/>
    <w:rsid w:val="00A57C54"/>
    <w:rsid w:val="00A603C1"/>
    <w:rsid w:val="00B20F89"/>
    <w:rsid w:val="00BB4A56"/>
    <w:rsid w:val="00BE35F6"/>
    <w:rsid w:val="00BF727D"/>
    <w:rsid w:val="00C118C1"/>
    <w:rsid w:val="00C120F0"/>
    <w:rsid w:val="00C13033"/>
    <w:rsid w:val="00D04C24"/>
    <w:rsid w:val="00D1165E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29</cp:revision>
  <cp:lastPrinted>2020-04-14T06:23:00Z</cp:lastPrinted>
  <dcterms:created xsi:type="dcterms:W3CDTF">2019-12-23T09:15:00Z</dcterms:created>
  <dcterms:modified xsi:type="dcterms:W3CDTF">2020-08-18T04:23:00Z</dcterms:modified>
</cp:coreProperties>
</file>