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377B9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8377B9">
        <w:rPr>
          <w:rFonts w:ascii="Times New Roman" w:hAnsi="Times New Roman" w:cs="Times New Roman"/>
          <w:b/>
          <w:lang w:val="kk-KZ"/>
        </w:rPr>
        <w:t>61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284D87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284D87">
              <w:rPr>
                <w:rFonts w:ascii="Times New Roman" w:hAnsi="Times New Roman" w:cs="Times New Roman"/>
              </w:rPr>
              <w:t>60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 xml:space="preserve">со дня </w:t>
            </w:r>
            <w:r w:rsidR="00284D87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C8579B" w:rsidP="00736026">
            <w:pPr>
              <w:rPr>
                <w:rFonts w:ascii="Times New Roman" w:hAnsi="Times New Roman" w:cs="Times New Roman"/>
                <w:color w:val="000000"/>
              </w:rPr>
            </w:pPr>
            <w:r w:rsidRPr="00C857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8579B">
              <w:rPr>
                <w:rFonts w:ascii="Times New Roman" w:hAnsi="Times New Roman" w:cs="Times New Roman"/>
                <w:color w:val="000000"/>
              </w:rPr>
              <w:t>430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8579B">
              <w:rPr>
                <w:rFonts w:ascii="Times New Roman" w:hAnsi="Times New Roman" w:cs="Times New Roman"/>
                <w:color w:val="000000"/>
              </w:rPr>
              <w:t xml:space="preserve">000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C8579B">
              <w:rPr>
                <w:rFonts w:ascii="Times New Roman" w:hAnsi="Times New Roman" w:cs="Times New Roman"/>
                <w:color w:val="000000"/>
                <w:lang w:val="kk-KZ"/>
              </w:rPr>
              <w:t>Три миллиона четыреста тридцать тысяч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8377B9" w:rsidP="008377B9">
            <w:pPr>
              <w:rPr>
                <w:rFonts w:ascii="Times New Roman" w:hAnsi="Times New Roman" w:cs="Times New Roman"/>
                <w:color w:val="000000"/>
              </w:rPr>
            </w:pPr>
            <w:r w:rsidRPr="008377B9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8377B9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8377B9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8024A8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487BF9" w:rsidRPr="00487BF9">
              <w:rPr>
                <w:rFonts w:ascii="Times New Roman" w:hAnsi="Times New Roman" w:cs="Times New Roman"/>
              </w:rPr>
              <w:t xml:space="preserve">для аппарата наркозно-дыхательного GE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Datex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Ohmeda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Aespire</w:t>
            </w:r>
            <w:proofErr w:type="spellEnd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48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1015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377B9" w:rsidP="008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</w:t>
            </w:r>
            <w:r w:rsidR="008024A8">
              <w:rPr>
                <w:rFonts w:ascii="Times New Roman" w:hAnsi="Times New Roman" w:cs="Times New Roman"/>
                <w:lang w:val="en-US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464791" w:rsidTr="0046479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464791" w:rsidTr="00E81015">
        <w:tc>
          <w:tcPr>
            <w:tcW w:w="668" w:type="dxa"/>
            <w:vAlign w:val="center"/>
          </w:tcPr>
          <w:p w:rsidR="00F40C98" w:rsidRPr="00464791" w:rsidRDefault="00F40C98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479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8377B9" w:rsidRDefault="008377B9" w:rsidP="006B788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377B9">
              <w:rPr>
                <w:rFonts w:ascii="Times New Roman" w:eastAsia="Times New Roman" w:hAnsi="Times New Roman" w:cs="Times New Roman"/>
                <w:lang w:val="kk-KZ"/>
              </w:rPr>
              <w:t>Медицинский компрессор сжатого воздуха</w:t>
            </w:r>
          </w:p>
        </w:tc>
        <w:tc>
          <w:tcPr>
            <w:tcW w:w="2551" w:type="dxa"/>
            <w:vAlign w:val="center"/>
          </w:tcPr>
          <w:p w:rsidR="00F40C98" w:rsidRPr="00487BF9" w:rsidRDefault="008377B9" w:rsidP="006B788B">
            <w:pPr>
              <w:jc w:val="center"/>
              <w:rPr>
                <w:rFonts w:ascii="Times New Roman" w:hAnsi="Times New Roman" w:cs="Times New Roman"/>
              </w:rPr>
            </w:pPr>
            <w:r w:rsidRPr="008377B9">
              <w:rPr>
                <w:rFonts w:ascii="Times New Roman" w:eastAsia="Times New Roman" w:hAnsi="Times New Roman" w:cs="Times New Roman"/>
              </w:rPr>
              <w:t>Количество ступеней сжатия 1 Число цилиндров компрессора 2 Объемная производительность, л/мин (м3 /ч)* 70 (4.2) Максимальное давление, МПа (бар) 0.8 (8) Номинальная частота вращения вала компрессора, мин-1 1400 Вместимость ресивера, л 8 Качество сжатого воздуха в стандартном исполнении степень фильтрации 5 мкм точка росы на 5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ниже температуры </w:t>
            </w:r>
            <w:r w:rsidRPr="008377B9">
              <w:rPr>
                <w:rFonts w:ascii="Times New Roman" w:eastAsia="Times New Roman" w:hAnsi="Times New Roman" w:cs="Times New Roman"/>
              </w:rPr>
              <w:lastRenderedPageBreak/>
              <w:t>окружающей среды содержание масла отсутствует Качество сжатого воздуха c фильтром тонкой очистки": степень фильтрации 0.01 мкм точка росы на 5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ниже температуры окружающей среды содержание масла отсутствует Качество сжатого воздуха c мембранным осушителем и фильтром тонкой очистки степень фильтрации 0.01 мкм точка росы -20°С содержание масла отсутствует Уровень звука,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дБА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48 Номинальная мощность, кВт 0.75 Присоединительный элемент Быстроразъемная муфта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European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Profile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Удаление конденсата автоматическое Габаритные размеры, мм, не </w:t>
            </w:r>
            <w:proofErr w:type="gramStart"/>
            <w:r w:rsidRPr="008377B9">
              <w:rPr>
                <w:rFonts w:ascii="Times New Roman" w:eastAsia="Times New Roman" w:hAnsi="Times New Roman" w:cs="Times New Roman"/>
              </w:rPr>
              <w:t xml:space="preserve">более: длина ширина высота 500 505 1040 Масса НЕТТО, кг, не более 72 Средний ресурс до капитального ремонта, ч 5000 *Примечание: данные приведены для нормальных условий эксплуатации компрессора **Потери производительности сжатого воздуха на модели, оборудованной мембранным осушителем - 15% 8 5.12 Сведения о содержании драгоценных металлов 5.12.1 Содержание сплава серебра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Ag-CdO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(90%-10%) и цветных металлов в компрессоре указано Масса сплава</w:t>
            </w:r>
            <w:proofErr w:type="gramEnd"/>
            <w:r w:rsidRPr="008377B9">
              <w:rPr>
                <w:rFonts w:ascii="Times New Roman" w:eastAsia="Times New Roman" w:hAnsi="Times New Roman" w:cs="Times New Roman"/>
              </w:rPr>
              <w:t xml:space="preserve"> серебра </w:t>
            </w:r>
            <w:proofErr w:type="spellStart"/>
            <w:r w:rsidRPr="008377B9">
              <w:rPr>
                <w:rFonts w:ascii="Times New Roman" w:eastAsia="Times New Roman" w:hAnsi="Times New Roman" w:cs="Times New Roman"/>
              </w:rPr>
              <w:t>Ag-CdO</w:t>
            </w:r>
            <w:proofErr w:type="spellEnd"/>
            <w:r w:rsidRPr="008377B9">
              <w:rPr>
                <w:rFonts w:ascii="Times New Roman" w:eastAsia="Times New Roman" w:hAnsi="Times New Roman" w:cs="Times New Roman"/>
              </w:rPr>
              <w:t xml:space="preserve"> (90%-10%), г Алюминий и алюминиевые сплавы, </w:t>
            </w:r>
            <w:r w:rsidRPr="008377B9">
              <w:rPr>
                <w:rFonts w:ascii="Times New Roman" w:eastAsia="Times New Roman" w:hAnsi="Times New Roman" w:cs="Times New Roman"/>
              </w:rPr>
              <w:lastRenderedPageBreak/>
              <w:t>кг Медь и сплавы на медной основе, кг</w:t>
            </w:r>
          </w:p>
        </w:tc>
        <w:tc>
          <w:tcPr>
            <w:tcW w:w="1276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1 350 000</w:t>
            </w:r>
          </w:p>
        </w:tc>
        <w:tc>
          <w:tcPr>
            <w:tcW w:w="709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F40C98" w:rsidRPr="00464791" w:rsidRDefault="006B788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40C98" w:rsidRPr="008377B9" w:rsidRDefault="008377B9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2 700 000</w:t>
            </w:r>
          </w:p>
        </w:tc>
      </w:tr>
      <w:tr w:rsidR="00C8579B" w:rsidRPr="00464791" w:rsidTr="00C8579B">
        <w:trPr>
          <w:trHeight w:val="3976"/>
        </w:trPr>
        <w:tc>
          <w:tcPr>
            <w:tcW w:w="668" w:type="dxa"/>
            <w:vAlign w:val="center"/>
          </w:tcPr>
          <w:p w:rsidR="00C8579B" w:rsidRPr="00464791" w:rsidRDefault="00C8579B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C8579B" w:rsidRPr="00C8579B" w:rsidRDefault="00C8579B" w:rsidP="00C85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9B">
              <w:rPr>
                <w:rFonts w:ascii="Times New Roman" w:hAnsi="Times New Roman" w:cs="Times New Roman"/>
                <w:color w:val="000000"/>
              </w:rPr>
              <w:t xml:space="preserve">Круглый </w:t>
            </w:r>
            <w:proofErr w:type="spellStart"/>
            <w:r w:rsidRPr="00C8579B">
              <w:rPr>
                <w:rFonts w:ascii="Times New Roman" w:hAnsi="Times New Roman" w:cs="Times New Roman"/>
                <w:color w:val="000000"/>
              </w:rPr>
              <w:t>имплант</w:t>
            </w:r>
            <w:proofErr w:type="spellEnd"/>
            <w:r w:rsidRPr="00C8579B">
              <w:rPr>
                <w:rFonts w:ascii="Times New Roman" w:hAnsi="Times New Roman" w:cs="Times New Roman"/>
                <w:color w:val="000000"/>
              </w:rPr>
              <w:t xml:space="preserve"> PYRAMESH размером 10х100 мм</w:t>
            </w:r>
          </w:p>
        </w:tc>
        <w:tc>
          <w:tcPr>
            <w:tcW w:w="2551" w:type="dxa"/>
            <w:vMerge w:val="restart"/>
            <w:vAlign w:val="center"/>
          </w:tcPr>
          <w:p w:rsidR="00C8579B" w:rsidRPr="00C8579B" w:rsidRDefault="00C8579B" w:rsidP="00C857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8579B">
              <w:rPr>
                <w:rFonts w:ascii="Times New Roman" w:hAnsi="Times New Roman" w:cs="Times New Roman"/>
              </w:rPr>
              <w:t>Круглый</w:t>
            </w:r>
            <w:proofErr w:type="gramEnd"/>
            <w:r w:rsidRPr="00C85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79B">
              <w:rPr>
                <w:rFonts w:ascii="Times New Roman" w:hAnsi="Times New Roman" w:cs="Times New Roman"/>
              </w:rPr>
              <w:t>имплант</w:t>
            </w:r>
            <w:proofErr w:type="spellEnd"/>
            <w:r w:rsidRPr="00C8579B">
              <w:rPr>
                <w:rFonts w:ascii="Times New Roman" w:hAnsi="Times New Roman" w:cs="Times New Roman"/>
              </w:rPr>
              <w:t xml:space="preserve"> PYRAMESH – может применяться на уровне любого отдела позвоночника. Возможно замещение дефектов тел позвонков по протяженности до трех уровней. Компоненты системы изготавливаются из: титанового сплава марки Ti-6Al-4V, градация V, американский стандарт ASTM F136, немецкий стандарт DIN 17850. Выполнен в виде трубки круглой или овальной формы, диаметром 10, 13, 16, 19, 25 мм, с соответствующей длиной 100, 70, 60, 90 и 100 мм с сетчатыми стенками в виде треугольников, по своей форме образующими поперечные кольца жесткости. Сетчатый дизайн служит для прорастания костного трансплантата. При имплантации меш заполняется костной тканью или </w:t>
            </w:r>
            <w:proofErr w:type="spellStart"/>
            <w:r w:rsidRPr="00C8579B">
              <w:rPr>
                <w:rFonts w:ascii="Times New Roman" w:hAnsi="Times New Roman" w:cs="Times New Roman"/>
              </w:rPr>
              <w:t>остеоиндуктивным</w:t>
            </w:r>
            <w:proofErr w:type="spellEnd"/>
            <w:r w:rsidRPr="00C8579B">
              <w:rPr>
                <w:rFonts w:ascii="Times New Roman" w:hAnsi="Times New Roman" w:cs="Times New Roman"/>
              </w:rPr>
              <w:t xml:space="preserve"> материалом. Толщина стенки сетки меша не менее 1,5 мм. Толщина поперечного кольца 1 мм. Не требует использования замыкательных торцевых крышек жесткости. Угловые допуски при установке от 0 до 30°. </w:t>
            </w:r>
            <w:proofErr w:type="spellStart"/>
            <w:r w:rsidRPr="00C8579B">
              <w:rPr>
                <w:rFonts w:ascii="Times New Roman" w:hAnsi="Times New Roman" w:cs="Times New Roman"/>
              </w:rPr>
              <w:t>Интраоперационная</w:t>
            </w:r>
            <w:proofErr w:type="spellEnd"/>
            <w:r w:rsidRPr="00C8579B">
              <w:rPr>
                <w:rFonts w:ascii="Times New Roman" w:hAnsi="Times New Roman" w:cs="Times New Roman"/>
              </w:rPr>
              <w:t xml:space="preserve"> возможность быстрой подгонки формы </w:t>
            </w:r>
            <w:proofErr w:type="spellStart"/>
            <w:r w:rsidRPr="00C8579B">
              <w:rPr>
                <w:rFonts w:ascii="Times New Roman" w:hAnsi="Times New Roman" w:cs="Times New Roman"/>
              </w:rPr>
              <w:t>эндопротеза</w:t>
            </w:r>
            <w:proofErr w:type="spellEnd"/>
            <w:r w:rsidRPr="00C8579B">
              <w:rPr>
                <w:rFonts w:ascii="Times New Roman" w:hAnsi="Times New Roman" w:cs="Times New Roman"/>
              </w:rPr>
              <w:t xml:space="preserve"> с помощью триммеров-кусачек. Имеется литерная маркировка производителя.</w:t>
            </w:r>
          </w:p>
        </w:tc>
        <w:tc>
          <w:tcPr>
            <w:tcW w:w="1276" w:type="dxa"/>
            <w:vAlign w:val="center"/>
          </w:tcPr>
          <w:p w:rsidR="00C8579B" w:rsidRPr="00C8579B" w:rsidRDefault="00C8579B" w:rsidP="00464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182 500</w:t>
            </w:r>
          </w:p>
        </w:tc>
        <w:tc>
          <w:tcPr>
            <w:tcW w:w="709" w:type="dxa"/>
            <w:vAlign w:val="center"/>
          </w:tcPr>
          <w:p w:rsidR="00C8579B" w:rsidRPr="008377B9" w:rsidRDefault="00C8579B" w:rsidP="00DC37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C8579B" w:rsidRPr="00464791" w:rsidRDefault="00C8579B" w:rsidP="00DC37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8579B" w:rsidRPr="00C8579B" w:rsidRDefault="00C8579B" w:rsidP="00464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365 000</w:t>
            </w:r>
          </w:p>
        </w:tc>
      </w:tr>
      <w:tr w:rsidR="00C8579B" w:rsidRPr="00464791" w:rsidTr="00E81015">
        <w:tc>
          <w:tcPr>
            <w:tcW w:w="668" w:type="dxa"/>
            <w:vAlign w:val="center"/>
          </w:tcPr>
          <w:p w:rsidR="00C8579B" w:rsidRPr="00464791" w:rsidRDefault="00C8579B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992" w:type="dxa"/>
            <w:vAlign w:val="center"/>
          </w:tcPr>
          <w:p w:rsidR="00C8579B" w:rsidRPr="00C8579B" w:rsidRDefault="00C8579B" w:rsidP="00C85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9B">
              <w:rPr>
                <w:rFonts w:ascii="Times New Roman" w:hAnsi="Times New Roman" w:cs="Times New Roman"/>
                <w:color w:val="000000"/>
              </w:rPr>
              <w:t xml:space="preserve">Круглый </w:t>
            </w:r>
            <w:proofErr w:type="spellStart"/>
            <w:r w:rsidRPr="00C8579B">
              <w:rPr>
                <w:rFonts w:ascii="Times New Roman" w:hAnsi="Times New Roman" w:cs="Times New Roman"/>
                <w:color w:val="000000"/>
              </w:rPr>
              <w:t>имплант</w:t>
            </w:r>
            <w:proofErr w:type="spellEnd"/>
            <w:r w:rsidRPr="00C8579B">
              <w:rPr>
                <w:rFonts w:ascii="Times New Roman" w:hAnsi="Times New Roman" w:cs="Times New Roman"/>
                <w:color w:val="000000"/>
              </w:rPr>
              <w:t xml:space="preserve"> PYRAMESH размером 10х70 мм</w:t>
            </w:r>
          </w:p>
        </w:tc>
        <w:tc>
          <w:tcPr>
            <w:tcW w:w="2551" w:type="dxa"/>
            <w:vMerge/>
            <w:vAlign w:val="center"/>
          </w:tcPr>
          <w:p w:rsidR="00C8579B" w:rsidRPr="008377B9" w:rsidRDefault="00C8579B" w:rsidP="006B78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579B" w:rsidRPr="00C8579B" w:rsidRDefault="00C8579B" w:rsidP="00464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182 500</w:t>
            </w:r>
          </w:p>
        </w:tc>
        <w:tc>
          <w:tcPr>
            <w:tcW w:w="709" w:type="dxa"/>
            <w:vAlign w:val="center"/>
          </w:tcPr>
          <w:p w:rsidR="00C8579B" w:rsidRPr="008377B9" w:rsidRDefault="00C8579B" w:rsidP="00DC37D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C8579B" w:rsidRPr="00464791" w:rsidRDefault="00C8579B" w:rsidP="00DC37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8579B" w:rsidRPr="00C8579B" w:rsidRDefault="00C8579B" w:rsidP="00464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365 000</w:t>
            </w:r>
          </w:p>
        </w:tc>
      </w:tr>
    </w:tbl>
    <w:p w:rsidR="00487BF9" w:rsidRPr="00C8579B" w:rsidRDefault="00487BF9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84D87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87BF9"/>
    <w:rsid w:val="004D6C83"/>
    <w:rsid w:val="0052142E"/>
    <w:rsid w:val="00537D8E"/>
    <w:rsid w:val="005E2E1C"/>
    <w:rsid w:val="006B788B"/>
    <w:rsid w:val="006B7BCB"/>
    <w:rsid w:val="006E7ABC"/>
    <w:rsid w:val="00736026"/>
    <w:rsid w:val="00783F35"/>
    <w:rsid w:val="007E741C"/>
    <w:rsid w:val="008024A8"/>
    <w:rsid w:val="00804AF0"/>
    <w:rsid w:val="008377B9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27E64"/>
    <w:rsid w:val="00C8579B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37</cp:revision>
  <cp:lastPrinted>2020-06-30T04:32:00Z</cp:lastPrinted>
  <dcterms:created xsi:type="dcterms:W3CDTF">2019-12-23T09:15:00Z</dcterms:created>
  <dcterms:modified xsi:type="dcterms:W3CDTF">2020-07-21T03:46:00Z</dcterms:modified>
</cp:coreProperties>
</file>