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Объявление </w:t>
      </w:r>
    </w:p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>
        <w:rPr>
          <w:sz w:val="22"/>
          <w:szCs w:val="22"/>
        </w:rPr>
        <w:t>г.</w:t>
      </w:r>
      <w:r>
        <w:rPr>
          <w:sz w:val="22"/>
          <w:szCs w:val="22"/>
        </w:rPr>
        <w:t xml:space="preserve"> Алматы</w:t>
      </w:r>
      <w:r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</w:r>
      <w:r w:rsidR="00EB6D99">
        <w:rPr>
          <w:sz w:val="22"/>
          <w:szCs w:val="22"/>
        </w:rPr>
        <w:tab/>
        <w:t xml:space="preserve">              «15</w:t>
      </w:r>
      <w:r>
        <w:rPr>
          <w:sz w:val="22"/>
          <w:szCs w:val="22"/>
        </w:rPr>
        <w:t xml:space="preserve">» </w:t>
      </w:r>
      <w:r w:rsidR="00AE3BF3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2019г.</w:t>
      </w:r>
    </w:p>
    <w:p w:rsidR="002E4FA0" w:rsidRDefault="002E4FA0" w:rsidP="002E4FA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2E4FA0" w:rsidRDefault="002E4FA0" w:rsidP="002E4F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Организатор закупа ГКП на ПХВ «</w:t>
      </w:r>
      <w:proofErr w:type="spellStart"/>
      <w:r>
        <w:rPr>
          <w:spacing w:val="2"/>
          <w:sz w:val="22"/>
          <w:szCs w:val="22"/>
        </w:rPr>
        <w:t>Алматинская</w:t>
      </w:r>
      <w:proofErr w:type="spellEnd"/>
      <w:r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  <w:sz w:val="22"/>
          <w:szCs w:val="22"/>
        </w:rPr>
        <w:t>Алматинской</w:t>
      </w:r>
      <w:proofErr w:type="spellEnd"/>
      <w:r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по закупу изделии медицинского назначения на 2019 год:  </w:t>
      </w:r>
    </w:p>
    <w:p w:rsidR="002E4FA0" w:rsidRDefault="002E4FA0" w:rsidP="002E4F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961"/>
        <w:gridCol w:w="850"/>
        <w:gridCol w:w="567"/>
        <w:gridCol w:w="1134"/>
        <w:gridCol w:w="1134"/>
      </w:tblGrid>
      <w:tr w:rsidR="002E4FA0" w:rsidRPr="00AE3BF3" w:rsidTr="008755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A0" w:rsidRPr="00AE3BF3" w:rsidRDefault="002E4FA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AE3BF3">
              <w:rPr>
                <w:spacing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A0" w:rsidRPr="00AE3BF3" w:rsidRDefault="002E4FA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AE3BF3">
              <w:rPr>
                <w:spacing w:val="2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A0" w:rsidRPr="00AE3BF3" w:rsidRDefault="002E4FA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AE3BF3">
              <w:rPr>
                <w:spacing w:val="2"/>
                <w:sz w:val="22"/>
                <w:szCs w:val="22"/>
                <w:lang w:eastAsia="en-US"/>
              </w:rPr>
              <w:t xml:space="preserve">Техническое описание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A0" w:rsidRPr="00AE3BF3" w:rsidRDefault="002E4FA0">
            <w:pPr>
              <w:pStyle w:val="a4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AE3BF3">
              <w:rPr>
                <w:spacing w:val="2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A0" w:rsidRPr="00AE3BF3" w:rsidRDefault="002E4FA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AE3BF3">
              <w:rPr>
                <w:spacing w:val="2"/>
                <w:sz w:val="22"/>
                <w:szCs w:val="22"/>
                <w:lang w:eastAsia="en-US"/>
              </w:rPr>
              <w:t>Колич</w:t>
            </w:r>
            <w:proofErr w:type="spellEnd"/>
            <w:r w:rsidRPr="00AE3BF3">
              <w:rPr>
                <w:spacing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A0" w:rsidRPr="00AE3BF3" w:rsidRDefault="002E4FA0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AE3BF3">
              <w:rPr>
                <w:spacing w:val="2"/>
                <w:sz w:val="22"/>
                <w:szCs w:val="22"/>
                <w:lang w:eastAsia="en-US"/>
              </w:rPr>
              <w:t>Цена за ед.,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A0" w:rsidRPr="00AE3BF3" w:rsidRDefault="002E4FA0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AE3BF3">
              <w:rPr>
                <w:spacing w:val="2"/>
                <w:sz w:val="22"/>
                <w:szCs w:val="22"/>
                <w:lang w:eastAsia="en-US"/>
              </w:rPr>
              <w:t>Сумма, тенге</w:t>
            </w:r>
          </w:p>
        </w:tc>
      </w:tr>
      <w:tr w:rsidR="00AE3BF3" w:rsidRPr="00AE3BF3" w:rsidTr="008755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D9708A">
            <w:pPr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 xml:space="preserve">Бедренный компонент 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Бедренный компонент:  правый и левый, материал –  кобальтохромовый сплав, несущая часть поверхности мыщелков имеет единый радиус в сагиттальной плоскости в диапазоне от -15  градусов до 75 градусов сгибания оба мыщелка в дистальной части  имеют единый радиус во фронтальной плоскости. Несущая поверхность имеет высокую степень полировку  с высокоэнергетической обработкой азотом. Внутренняя поверхность имеет вафельную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макротекстуру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глубиной в 0.75 мм Допустимая наружн</w:t>
            </w:r>
            <w:proofErr w:type="gram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внутренняя ротация ±10 градусов.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Взаимосочетаемость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большеберцовым вкладышем ±1 типоразмер. 6 стандартных размеров: переднезадние размеры по наружному мыщелку 54 до 76 мм, наружновнутренний от 56 до 81 мм, внутренние переднезадние размеры от 35 до 58, толщина переднего фланца 8 мм, толщина заднего фланца 8 мм. Ширина короба 17-21 мм. Высота короба 20-25 мм. Ширина мыщелков 20-30 мм. Высота основания ножки 42-48 мм. По внутренней поверхности имеет резьбовые отверстия для фиксации задних и дистальных опорных блоков (аугментов).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3BF3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AE3BF3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414 413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414 413</w:t>
            </w:r>
          </w:p>
        </w:tc>
      </w:tr>
      <w:tr w:rsidR="00AE3BF3" w:rsidRPr="00AE3BF3" w:rsidTr="008755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D9708A">
            <w:pPr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 xml:space="preserve">Большеберцовый компонент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Большеберцовый компонент: материал –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CoCr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сплав. Количество типоразмеров – не менее 6. </w:t>
            </w:r>
            <w:proofErr w:type="gram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Переднее-задний</w:t>
            </w:r>
            <w:proofErr w:type="gram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от 44 до 68 мм. Ширина 61 – 88 мм. Должна иметь ножку со ступенчатыми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килевидными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крыльями, направленными в стороны и несколько назад. Верхняя поверхность основания не полированная. Длина ножки должна увеличиваться с увеличением размера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тибиального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компонента с 35 до 43 мм. Должен иметь 4 отверстия </w:t>
            </w:r>
            <w:proofErr w:type="gram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обтюрированные полиэтиленовыми заглушками. Основание модульной ножки должно быть маркировано цифровыми значениями от 1 до 11 для ориентировки офсетного адаптера.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160 391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160 391</w:t>
            </w:r>
          </w:p>
        </w:tc>
      </w:tr>
      <w:tr w:rsidR="00AE3BF3" w:rsidRPr="00AE3BF3" w:rsidTr="008755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D9708A">
            <w:pPr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 xml:space="preserve">Большеберцовый вкладыш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Вкладыш большеберцовый: материал -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сверхвысокомолекулярный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полиэтилен. Вкладыш должен ограничивать отклонения на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варус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вальгус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± 20, вкладыш не должен допускать ротационные движения более чем ± 70. Толщина: 10 – 24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3BF3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AE3BF3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120 350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120 350</w:t>
            </w:r>
          </w:p>
        </w:tc>
      </w:tr>
      <w:tr w:rsidR="00AE3BF3" w:rsidRPr="00AE3BF3" w:rsidTr="008755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D9708A">
            <w:pPr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 xml:space="preserve">Большеберцовый опорный блок (аугмент)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Большеберцовый аугмент: материал -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CoCr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сплав, цельный либо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полублок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который занимает менее </w:t>
            </w:r>
            <w:proofErr w:type="gram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½-</w:t>
            </w:r>
            <w:proofErr w:type="gram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большеберцового основания, толщина 5 и 10 мм. Универсальный правый и левый. Механизм фиксации – на 2 винта.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3BF3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AE3BF3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113 424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113 424</w:t>
            </w:r>
          </w:p>
        </w:tc>
      </w:tr>
      <w:tr w:rsidR="00AE3BF3" w:rsidRPr="00AE3BF3" w:rsidTr="008755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D9708A">
            <w:pPr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 xml:space="preserve">Бедренный дистальный опорный блок (аугмент)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Бедренный аугмент дистальный: материал - </w:t>
            </w:r>
            <w:proofErr w:type="spellStart"/>
            <w:proofErr w:type="gram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oCr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сплав, толщина – 5,10 мм. Универсальный (без разделения </w:t>
            </w:r>
            <w:proofErr w:type="gram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левый и правый).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82 029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82 029</w:t>
            </w:r>
          </w:p>
        </w:tc>
      </w:tr>
      <w:tr w:rsidR="00AE3BF3" w:rsidRPr="00AE3BF3" w:rsidTr="008755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EB6D99">
            <w:pPr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 xml:space="preserve">Бедренный задний опорный блок (аугмент)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Бедренный аугмент задний: материал - </w:t>
            </w:r>
            <w:proofErr w:type="spell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CoCr</w:t>
            </w:r>
            <w:proofErr w:type="spell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сплав, толщина 5 и 10 мм, универсальный (без разделения </w:t>
            </w:r>
            <w:proofErr w:type="gramStart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AE3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левый и правый).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82 029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F3" w:rsidRPr="00AE3BF3" w:rsidRDefault="00AE3BF3" w:rsidP="0002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BF3">
              <w:rPr>
                <w:rFonts w:ascii="Times New Roman" w:hAnsi="Times New Roman" w:cs="Times New Roman"/>
                <w:color w:val="000000"/>
              </w:rPr>
              <w:t>82 029</w:t>
            </w:r>
          </w:p>
        </w:tc>
      </w:tr>
    </w:tbl>
    <w:p w:rsidR="002E4FA0" w:rsidRDefault="002E4FA0" w:rsidP="009C7F7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A03D29">
        <w:rPr>
          <w:rFonts w:ascii="Times New Roman" w:eastAsia="Times New Roman" w:hAnsi="Times New Roman" w:cs="Times New Roman"/>
          <w:color w:val="000000"/>
          <w:lang w:eastAsia="ru-RU"/>
        </w:rPr>
        <w:t xml:space="preserve">972 636 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9C7F7C" w:rsidRPr="009C7F7C">
        <w:rPr>
          <w:rFonts w:ascii="Times New Roman" w:eastAsia="Times New Roman" w:hAnsi="Times New Roman" w:cs="Times New Roman" w:hint="cs"/>
          <w:color w:val="000000"/>
        </w:rPr>
        <w:t>девятьсот</w:t>
      </w:r>
      <w:r w:rsidR="009C7F7C" w:rsidRPr="009C7F7C">
        <w:rPr>
          <w:rFonts w:ascii="Times New Roman" w:eastAsia="Times New Roman" w:hAnsi="Times New Roman" w:cs="Times New Roman"/>
          <w:color w:val="000000"/>
        </w:rPr>
        <w:t xml:space="preserve"> </w:t>
      </w:r>
      <w:r w:rsidR="009C7F7C" w:rsidRPr="009C7F7C">
        <w:rPr>
          <w:rFonts w:ascii="Times New Roman" w:eastAsia="Times New Roman" w:hAnsi="Times New Roman" w:cs="Times New Roman" w:hint="cs"/>
          <w:color w:val="000000"/>
        </w:rPr>
        <w:t>семьдесят</w:t>
      </w:r>
      <w:r w:rsidR="009C7F7C" w:rsidRPr="009C7F7C">
        <w:rPr>
          <w:rFonts w:ascii="Times New Roman" w:eastAsia="Times New Roman" w:hAnsi="Times New Roman" w:cs="Times New Roman"/>
          <w:color w:val="000000"/>
        </w:rPr>
        <w:t xml:space="preserve"> </w:t>
      </w:r>
      <w:r w:rsidR="009C7F7C" w:rsidRPr="009C7F7C">
        <w:rPr>
          <w:rFonts w:ascii="Times New Roman" w:eastAsia="Times New Roman" w:hAnsi="Times New Roman" w:cs="Times New Roman" w:hint="cs"/>
          <w:color w:val="000000"/>
        </w:rPr>
        <w:t>две</w:t>
      </w:r>
      <w:r w:rsidR="009C7F7C" w:rsidRPr="009C7F7C">
        <w:rPr>
          <w:rFonts w:ascii="Times New Roman" w:eastAsia="Times New Roman" w:hAnsi="Times New Roman" w:cs="Times New Roman"/>
          <w:color w:val="000000"/>
        </w:rPr>
        <w:t xml:space="preserve"> </w:t>
      </w:r>
      <w:r w:rsidR="009C7F7C" w:rsidRPr="009C7F7C">
        <w:rPr>
          <w:rFonts w:ascii="Times New Roman" w:eastAsia="Times New Roman" w:hAnsi="Times New Roman" w:cs="Times New Roman" w:hint="cs"/>
          <w:color w:val="000000"/>
        </w:rPr>
        <w:t>тысячи</w:t>
      </w:r>
      <w:r w:rsidR="009C7F7C" w:rsidRPr="009C7F7C">
        <w:rPr>
          <w:rFonts w:ascii="Times New Roman" w:eastAsia="Times New Roman" w:hAnsi="Times New Roman" w:cs="Times New Roman"/>
          <w:color w:val="000000"/>
        </w:rPr>
        <w:t xml:space="preserve"> </w:t>
      </w:r>
      <w:r w:rsidR="009C7F7C" w:rsidRPr="009C7F7C">
        <w:rPr>
          <w:rFonts w:ascii="Times New Roman" w:eastAsia="Times New Roman" w:hAnsi="Times New Roman" w:cs="Times New Roman" w:hint="cs"/>
          <w:color w:val="000000"/>
        </w:rPr>
        <w:t>шестьсот</w:t>
      </w:r>
      <w:r w:rsidR="009C7F7C" w:rsidRPr="009C7F7C">
        <w:rPr>
          <w:rFonts w:ascii="Times New Roman" w:eastAsia="Times New Roman" w:hAnsi="Times New Roman" w:cs="Times New Roman"/>
          <w:color w:val="000000"/>
        </w:rPr>
        <w:t xml:space="preserve"> </w:t>
      </w:r>
      <w:r w:rsidR="009C7F7C" w:rsidRPr="009C7F7C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9C7F7C" w:rsidRPr="009C7F7C">
        <w:rPr>
          <w:rFonts w:ascii="Times New Roman" w:eastAsia="Times New Roman" w:hAnsi="Times New Roman" w:cs="Times New Roman"/>
          <w:color w:val="000000"/>
        </w:rPr>
        <w:t xml:space="preserve"> </w:t>
      </w:r>
      <w:r w:rsidR="009C7F7C" w:rsidRPr="009C7F7C">
        <w:rPr>
          <w:rFonts w:ascii="Times New Roman" w:eastAsia="Times New Roman" w:hAnsi="Times New Roman" w:cs="Times New Roman" w:hint="cs"/>
          <w:color w:val="000000"/>
        </w:rPr>
        <w:t>шесть</w:t>
      </w:r>
      <w:r>
        <w:rPr>
          <w:rFonts w:ascii="Times New Roman" w:eastAsia="Times New Roman" w:hAnsi="Times New Roman" w:cs="Times New Roman"/>
          <w:color w:val="000000"/>
        </w:rPr>
        <w:t xml:space="preserve">) тенге. </w:t>
      </w:r>
    </w:p>
    <w:p w:rsidR="002E4FA0" w:rsidRDefault="002E4FA0" w:rsidP="009C7F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2E4FA0" w:rsidRDefault="002E4FA0" w:rsidP="002E4F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Сроки и условия поставки: </w:t>
      </w:r>
      <w:r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2E4FA0" w:rsidRDefault="002E4FA0" w:rsidP="002E4F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2E4FA0" w:rsidRDefault="002E4FA0" w:rsidP="002E4F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предлож</w:t>
      </w:r>
      <w:r w:rsidR="0087556D">
        <w:rPr>
          <w:spacing w:val="2"/>
          <w:sz w:val="22"/>
          <w:szCs w:val="22"/>
        </w:rPr>
        <w:t>ений до 17.00 часов «22» апреля</w:t>
      </w:r>
      <w:r>
        <w:rPr>
          <w:spacing w:val="2"/>
          <w:sz w:val="22"/>
          <w:szCs w:val="22"/>
        </w:rPr>
        <w:t xml:space="preserve"> 2019 года.</w:t>
      </w:r>
    </w:p>
    <w:p w:rsidR="002E4FA0" w:rsidRDefault="002E4FA0" w:rsidP="002E4F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Конверты с ценовыми предложениями будут вскрываться в 08.00 часов «23» </w:t>
      </w:r>
      <w:r w:rsidR="0087556D">
        <w:rPr>
          <w:spacing w:val="2"/>
          <w:sz w:val="22"/>
          <w:szCs w:val="22"/>
        </w:rPr>
        <w:t>апреля</w:t>
      </w:r>
      <w:r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2E4FA0" w:rsidRDefault="002E4FA0" w:rsidP="002E4F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2E4FA0" w:rsidRDefault="002E4FA0" w:rsidP="002E4F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2E4FA0" w:rsidRDefault="002E4FA0" w:rsidP="002E4F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E4FA0" w:rsidRDefault="002E4FA0" w:rsidP="002E4F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>
        <w:rPr>
          <w:rFonts w:ascii="Times New Roman" w:hAnsi="Times New Roman" w:cs="Times New Roman"/>
          <w:color w:val="000000"/>
        </w:rPr>
        <w:t xml:space="preserve">       </w:t>
      </w:r>
      <w:r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>
        <w:rPr>
          <w:rFonts w:ascii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2E4FA0" w:rsidRDefault="002E4FA0" w:rsidP="002E4F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E4FA0" w:rsidRDefault="002E4FA0" w:rsidP="002E4F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E4FA0" w:rsidRDefault="002E4FA0" w:rsidP="002E4F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E4FA0" w:rsidRDefault="002E4FA0" w:rsidP="002E4F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>
        <w:rPr>
          <w:rFonts w:ascii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E4FA0" w:rsidRDefault="002E4FA0" w:rsidP="002E4F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E4FA0" w:rsidRDefault="002E4FA0" w:rsidP="002E4F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E4FA0" w:rsidRDefault="002E4FA0" w:rsidP="002E4F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2E4FA0" w:rsidRDefault="002E4FA0" w:rsidP="002E4F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2E4FA0" w:rsidRDefault="002E4FA0" w:rsidP="002E4F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2E4FA0" w:rsidRDefault="002E4FA0" w:rsidP="002E4FA0">
      <w:pPr>
        <w:rPr>
          <w:rFonts w:ascii="Times New Roman" w:hAnsi="Times New Roman" w:cs="Times New Roman"/>
        </w:rPr>
      </w:pPr>
    </w:p>
    <w:p w:rsidR="002E4FA0" w:rsidRDefault="002E4FA0" w:rsidP="002E4FA0">
      <w:pPr>
        <w:rPr>
          <w:rFonts w:ascii="Times New Roman" w:hAnsi="Times New Roman" w:cs="Times New Roman"/>
        </w:rPr>
      </w:pPr>
    </w:p>
    <w:p w:rsidR="002E4FA0" w:rsidRDefault="002E4FA0" w:rsidP="002E4FA0"/>
    <w:p w:rsidR="002E4FA0" w:rsidRDefault="002E4FA0" w:rsidP="002E4FA0"/>
    <w:p w:rsidR="00377922" w:rsidRDefault="00377922"/>
    <w:sectPr w:rsidR="003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2B"/>
    <w:rsid w:val="002E4FA0"/>
    <w:rsid w:val="00377922"/>
    <w:rsid w:val="00545347"/>
    <w:rsid w:val="006436B0"/>
    <w:rsid w:val="00671A5F"/>
    <w:rsid w:val="007D622B"/>
    <w:rsid w:val="0087556D"/>
    <w:rsid w:val="00955433"/>
    <w:rsid w:val="009C7F7C"/>
    <w:rsid w:val="00A03D29"/>
    <w:rsid w:val="00AE3BF3"/>
    <w:rsid w:val="00C96B00"/>
    <w:rsid w:val="00D9708A"/>
    <w:rsid w:val="00EB6D99"/>
    <w:rsid w:val="00F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A0"/>
  </w:style>
  <w:style w:type="paragraph" w:styleId="3">
    <w:name w:val="heading 3"/>
    <w:basedOn w:val="a"/>
    <w:link w:val="30"/>
    <w:uiPriority w:val="9"/>
    <w:semiHidden/>
    <w:unhideWhenUsed/>
    <w:qFormat/>
    <w:rsid w:val="002E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E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E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4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A0"/>
  </w:style>
  <w:style w:type="paragraph" w:styleId="3">
    <w:name w:val="heading 3"/>
    <w:basedOn w:val="a"/>
    <w:link w:val="30"/>
    <w:uiPriority w:val="9"/>
    <w:semiHidden/>
    <w:unhideWhenUsed/>
    <w:qFormat/>
    <w:rsid w:val="002E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E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E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4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2019-04-16T09:28:00Z</dcterms:created>
  <dcterms:modified xsi:type="dcterms:W3CDTF">2019-04-16T09:59:00Z</dcterms:modified>
</cp:coreProperties>
</file>